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1" w:type="dxa"/>
        <w:tblLook w:val="01E0" w:firstRow="1" w:lastRow="1" w:firstColumn="1" w:lastColumn="1" w:noHBand="0" w:noVBand="0"/>
      </w:tblPr>
      <w:tblGrid>
        <w:gridCol w:w="5609"/>
        <w:gridCol w:w="3746"/>
      </w:tblGrid>
      <w:tr w:rsidR="00E03DFF" w:rsidRPr="00E03DFF" w:rsidTr="00E03DFF">
        <w:tc>
          <w:tcPr>
            <w:tcW w:w="5609" w:type="dxa"/>
          </w:tcPr>
          <w:p w:rsidR="00E03DFF" w:rsidRPr="00E03DFF" w:rsidRDefault="00E03DFF" w:rsidP="00E03DFF">
            <w:pPr>
              <w:ind w:firstLine="426"/>
            </w:pPr>
            <w:r w:rsidRPr="00E03DFF">
              <w:rPr>
                <w:lang w:val="be-BY"/>
              </w:rPr>
              <w:br w:type="page"/>
            </w:r>
            <w:r w:rsidRPr="00E03DFF">
              <w:t xml:space="preserve">Учреждение образования </w:t>
            </w:r>
          </w:p>
          <w:p w:rsidR="00E03DFF" w:rsidRPr="00E03DFF" w:rsidRDefault="00E03DFF" w:rsidP="00E03DFF">
            <w:pPr>
              <w:ind w:firstLine="426"/>
            </w:pPr>
            <w:r w:rsidRPr="00E03DFF">
              <w:t>«Брестский государственный университет имени А.С. Пушкина»</w:t>
            </w:r>
          </w:p>
          <w:p w:rsidR="00E03DFF" w:rsidRPr="00E03DFF" w:rsidRDefault="00E03DFF" w:rsidP="00E03DFF">
            <w:pPr>
              <w:ind w:firstLine="426"/>
              <w:rPr>
                <w:lang w:val="be-BY"/>
              </w:rPr>
            </w:pPr>
          </w:p>
          <w:p w:rsidR="00E03DFF" w:rsidRPr="00E03DFF" w:rsidRDefault="00E03DFF" w:rsidP="00E03DFF">
            <w:pPr>
              <w:ind w:firstLine="426"/>
            </w:pPr>
            <w:r w:rsidRPr="00E03DFF">
              <w:rPr>
                <w:lang w:val="be-BY"/>
              </w:rPr>
              <w:t xml:space="preserve">Кафедра </w:t>
            </w:r>
            <w:r w:rsidRPr="00E03DFF">
              <w:t>русской литературы и журналистики</w:t>
            </w:r>
          </w:p>
        </w:tc>
        <w:tc>
          <w:tcPr>
            <w:tcW w:w="3746" w:type="dxa"/>
            <w:hideMark/>
          </w:tcPr>
          <w:p w:rsidR="00E03DFF" w:rsidRPr="00E03DFF" w:rsidRDefault="00E03DFF" w:rsidP="00E03DFF">
            <w:pPr>
              <w:ind w:firstLine="426"/>
            </w:pPr>
            <w:r w:rsidRPr="00E03DFF">
              <w:t>УТВЕРЖДАЮ</w:t>
            </w:r>
          </w:p>
          <w:p w:rsidR="00E03DFF" w:rsidRPr="00E03DFF" w:rsidRDefault="00E03DFF" w:rsidP="00E03DFF">
            <w:pPr>
              <w:ind w:firstLine="426"/>
              <w:rPr>
                <w:lang w:val="be-BY"/>
              </w:rPr>
            </w:pPr>
            <w:r w:rsidRPr="00E03DFF">
              <w:rPr>
                <w:lang w:val="be-BY"/>
              </w:rPr>
              <w:t>Пр</w:t>
            </w:r>
            <w:r w:rsidRPr="00E03DFF">
              <w:t>о</w:t>
            </w:r>
            <w:r w:rsidRPr="00E03DFF">
              <w:rPr>
                <w:lang w:val="be-BY"/>
              </w:rPr>
              <w:t>т</w:t>
            </w:r>
            <w:r w:rsidRPr="00E03DFF">
              <w:t>о</w:t>
            </w:r>
            <w:r w:rsidRPr="00E03DFF">
              <w:rPr>
                <w:lang w:val="be-BY"/>
              </w:rPr>
              <w:t xml:space="preserve">кол </w:t>
            </w:r>
            <w:r w:rsidRPr="00E03DFF">
              <w:t>заседания</w:t>
            </w:r>
            <w:r w:rsidRPr="00E03DFF">
              <w:rPr>
                <w:lang w:val="be-BY"/>
              </w:rPr>
              <w:t xml:space="preserve"> кафедры</w:t>
            </w:r>
          </w:p>
          <w:p w:rsidR="00E03DFF" w:rsidRPr="00E03DFF" w:rsidRDefault="00E03DFF" w:rsidP="00E03DFF">
            <w:pPr>
              <w:ind w:firstLine="426"/>
            </w:pPr>
            <w:proofErr w:type="gramStart"/>
            <w:r w:rsidRPr="00E03DFF">
              <w:t>от</w:t>
            </w:r>
            <w:proofErr w:type="gramEnd"/>
            <w:r w:rsidRPr="00E03DFF">
              <w:rPr>
                <w:lang w:val="be-BY"/>
              </w:rPr>
              <w:t xml:space="preserve"> </w:t>
            </w:r>
            <w:r w:rsidRPr="00E03DFF">
              <w:t xml:space="preserve">21.11.2019 </w:t>
            </w:r>
            <w:r w:rsidRPr="00E03DFF">
              <w:rPr>
                <w:lang w:val="be-BY"/>
              </w:rPr>
              <w:t xml:space="preserve"> № </w:t>
            </w:r>
            <w:r w:rsidRPr="00E03DFF">
              <w:t>4</w:t>
            </w:r>
          </w:p>
        </w:tc>
      </w:tr>
    </w:tbl>
    <w:p w:rsidR="00E03DFF" w:rsidRPr="00E03DFF" w:rsidRDefault="00E03DFF" w:rsidP="00E03DFF">
      <w:pPr>
        <w:ind w:firstLine="426"/>
        <w:rPr>
          <w:lang w:val="be-BY"/>
        </w:rPr>
      </w:pPr>
    </w:p>
    <w:p w:rsidR="00E03DFF" w:rsidRPr="00E03DFF" w:rsidRDefault="00E03DFF" w:rsidP="00E03DFF">
      <w:pPr>
        <w:ind w:firstLine="426"/>
        <w:rPr>
          <w:lang w:val="be-BY"/>
        </w:rPr>
      </w:pPr>
      <w:r w:rsidRPr="00E03DFF">
        <w:rPr>
          <w:lang w:val="be-BY"/>
        </w:rPr>
        <w:t>ВОПРОСЫ К ЗАЧЕТУ</w:t>
      </w:r>
    </w:p>
    <w:p w:rsidR="00E03DFF" w:rsidRPr="00E03DFF" w:rsidRDefault="00E03DFF" w:rsidP="00E03DFF">
      <w:pPr>
        <w:ind w:firstLine="426"/>
      </w:pPr>
      <w:r w:rsidRPr="00E03DFF">
        <w:t xml:space="preserve">21.11.2019  </w:t>
      </w:r>
    </w:p>
    <w:p w:rsidR="00E03DFF" w:rsidRPr="00E03DFF" w:rsidRDefault="00E03DFF" w:rsidP="00E03DFF">
      <w:pPr>
        <w:ind w:firstLine="426"/>
        <w:rPr>
          <w:lang w:val="be-BY"/>
        </w:rPr>
      </w:pPr>
      <w:r w:rsidRPr="00E03DFF">
        <w:rPr>
          <w:lang w:val="be-BY"/>
        </w:rPr>
        <w:t>г. Брест</w:t>
      </w:r>
    </w:p>
    <w:p w:rsidR="00E03DFF" w:rsidRPr="00E03DFF" w:rsidRDefault="00E03DFF" w:rsidP="00E03DFF">
      <w:pPr>
        <w:ind w:firstLine="426"/>
      </w:pPr>
    </w:p>
    <w:p w:rsidR="00E03DFF" w:rsidRPr="00E03DFF" w:rsidRDefault="00E03DFF" w:rsidP="00E03DFF">
      <w:pPr>
        <w:ind w:firstLine="426"/>
      </w:pPr>
      <w:r w:rsidRPr="00E03DFF">
        <w:t>По курсу: «История русской литературы»</w:t>
      </w:r>
    </w:p>
    <w:p w:rsidR="00E03DFF" w:rsidRPr="00E03DFF" w:rsidRDefault="00E03DFF" w:rsidP="00E03DFF">
      <w:pPr>
        <w:ind w:firstLine="426"/>
      </w:pPr>
      <w:r w:rsidRPr="00E03DFF">
        <w:t>Специальность: «Белорусская филология (литературно-редакционная деятельность)», 2 курс, 3 семестр</w:t>
      </w:r>
    </w:p>
    <w:p w:rsidR="00E03DFF" w:rsidRPr="00E03DFF" w:rsidRDefault="00E03DFF" w:rsidP="00E03DFF">
      <w:pPr>
        <w:ind w:firstLine="426"/>
      </w:pP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bookmarkStart w:id="0" w:name="_GoBack"/>
      <w:bookmarkEnd w:id="0"/>
      <w:r w:rsidRPr="00E03DFF">
        <w:t xml:space="preserve">Общая характеристика литературного процесса 50-90-х годов. Решение проблемы положительного героя времени. 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Характер повествования в романе «Обломов» И.А. Гончарова (темп, описание «дворянских гнезд», бытовые зарисовки, городской пейзаж, др.). Значение метода обобщения в обрисовке характеров и окружающего их мира. Традиции Н.В. Гоголя (способы детализации; подробности).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Философские, политические, исторические, эстетические взгляды Ф.И. Тютчева. Психологизм его лирики.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Музыкальность поэзии А.А. Фета, «крылатый слова звук» в стихотворениях «Ива», «Горячий ключ», «Солнце садится, и ветер утихнул летучий...», «Благовонная ночь, благодатная ночь...» и др.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«Гроза» как высшее художественное достижение А.Н. Островского дореформенного периода. Народная основа верований и мечтаний Катерины: их романтика и лиризм. Трагическая напряженность в развертывании действия и средства ее создания.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 xml:space="preserve">Роль А.Н. Островского в становлении психологической драмы. Основные темы и мотивы пьесы «Бесприданница». 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Темы и мотивы лирики Н.А. Некрасова, ее жанровое многообразие.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 xml:space="preserve">Проблемы свободы, счастья, смысла жизни, самосознания личности и народа в поэме «Кому на Руси жить хорошо» Н.А. Некрасова. Образ Григория </w:t>
      </w:r>
      <w:proofErr w:type="spellStart"/>
      <w:r w:rsidRPr="00E03DFF">
        <w:t>Добросклонова</w:t>
      </w:r>
      <w:proofErr w:type="spellEnd"/>
      <w:r w:rsidRPr="00E03DFF">
        <w:t>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«Записки охотника» И.С. Тургенева как достижение реалистической литературы 40-х гг. Тематика, проблематика, идейное своеобразие цикла.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Конфликт романа «Отцы и дети» И.С. Тургенева. Полемика вокруг романа.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«Преступление и наказание» Ф.М. Достоевского – новый тип романа в русской и мировой художественной литературе.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Теория Раскольникова и его трагедия. Социальный и идеологический мотивы преступления («Преступление и наказание» Ф.М. Достоевского).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lastRenderedPageBreak/>
        <w:t xml:space="preserve"> «Господа Головлевы» М.Е. Салтыков-Щедрина: проблемно-тематическое пространство, поэтика. 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 xml:space="preserve">Сказки М.Е. Салтыков-Щедрина: проблемное пространство, «эзопов язык», новаторское преломление фольклорных традиций. 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Антивоенные рассказы В.М. Гаршина («Четыре дня», «Трус», «Денщик и офицер»).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 xml:space="preserve">Утверждение активного начала во внутренней и внешней жизни человека («Слепой музыкант» В.Г. Короленко). Образ Петра. Особенности </w:t>
      </w:r>
      <w:proofErr w:type="spellStart"/>
      <w:r w:rsidRPr="00E03DFF">
        <w:t>сюжетостроения</w:t>
      </w:r>
      <w:proofErr w:type="spellEnd"/>
      <w:r w:rsidRPr="00E03DFF">
        <w:t xml:space="preserve">. 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proofErr w:type="gramStart"/>
      <w:r w:rsidRPr="00E03DFF">
        <w:t>Трилогия  «</w:t>
      </w:r>
      <w:proofErr w:type="gramEnd"/>
      <w:r w:rsidRPr="00E03DFF">
        <w:t>Детство», «Отрочество», «Юность» Л.Н. Толстого: образ Николеньки Иртеньева, автобиографический компонент.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Роман-эпопея «Война и мир» Л.Н. Толстого. Смысл названия. Специфика жанра.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 xml:space="preserve">Противостояние двух начал – основа развития характеров Андрея Болконского и Пьера Безухова («Война и мир» Л.Н. Толстого). 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Образ Анны Карениной («Анна Каренина» Л.Н. Толстого) и сущность ее трагедии. Субъективно-объективный характер категории вины. Значение эпиграфа к роману.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Особенности национального характера в творчестве Лескова «Запечатленный ангел», «Тупейный художник», «Очарованный странник», «Левша»). Анализ двух произведений по выбору студента.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>Формирование типа «не-героя» времени в прозе А.П. Чехова. Тетралогия «Человек в футляре», «Крыжовник», «О любви», «</w:t>
      </w:r>
      <w:proofErr w:type="spellStart"/>
      <w:r w:rsidRPr="00E03DFF">
        <w:t>Ионыч</w:t>
      </w:r>
      <w:proofErr w:type="spellEnd"/>
      <w:r w:rsidRPr="00E03DFF">
        <w:t xml:space="preserve">». Протест против «кислого» счастья, </w:t>
      </w:r>
      <w:proofErr w:type="spellStart"/>
      <w:r w:rsidRPr="00E03DFF">
        <w:t>собственничества</w:t>
      </w:r>
      <w:proofErr w:type="spellEnd"/>
      <w:r w:rsidRPr="00E03DFF">
        <w:t xml:space="preserve"> и «футлярной» жизни. </w:t>
      </w:r>
    </w:p>
    <w:p w:rsidR="00E03DFF" w:rsidRPr="00E03DFF" w:rsidRDefault="00E03DFF" w:rsidP="00E03DFF">
      <w:pPr>
        <w:numPr>
          <w:ilvl w:val="0"/>
          <w:numId w:val="1"/>
        </w:numPr>
        <w:ind w:left="0" w:firstLine="426"/>
        <w:jc w:val="both"/>
      </w:pPr>
      <w:r w:rsidRPr="00E03DFF">
        <w:t xml:space="preserve">Образ </w:t>
      </w:r>
      <w:proofErr w:type="spellStart"/>
      <w:r w:rsidRPr="00E03DFF">
        <w:t>Гаева</w:t>
      </w:r>
      <w:proofErr w:type="spellEnd"/>
      <w:r w:rsidRPr="00E03DFF">
        <w:t xml:space="preserve"> и Раневской, Лопахина, Ани и Пети Трофимова как этапы развития России («Вишневый сад»). Новаторство А.П. Чехова-драматурга.</w:t>
      </w:r>
    </w:p>
    <w:p w:rsidR="00E03DFF" w:rsidRPr="00E03DFF" w:rsidRDefault="00E03DFF" w:rsidP="00E03DFF">
      <w:pPr>
        <w:ind w:firstLine="426"/>
      </w:pPr>
    </w:p>
    <w:p w:rsidR="00E03DFF" w:rsidRPr="00E03DFF" w:rsidRDefault="00E03DFF" w:rsidP="00E03DFF">
      <w:pPr>
        <w:ind w:firstLine="426"/>
      </w:pPr>
      <w:r w:rsidRPr="00E03DFF">
        <w:t>Заведующий кафедрой                          Л.В. </w:t>
      </w:r>
      <w:proofErr w:type="spellStart"/>
      <w:r w:rsidRPr="00E03DFF">
        <w:t>Скибицкая</w:t>
      </w:r>
      <w:proofErr w:type="spellEnd"/>
    </w:p>
    <w:p w:rsidR="00E03DFF" w:rsidRPr="00E03DFF" w:rsidRDefault="00E03DFF" w:rsidP="00E03DFF">
      <w:pPr>
        <w:ind w:firstLine="426"/>
      </w:pPr>
    </w:p>
    <w:p w:rsidR="00E03DFF" w:rsidRPr="00E03DFF" w:rsidRDefault="00E03DFF" w:rsidP="00E03DFF">
      <w:pPr>
        <w:ind w:firstLine="426"/>
      </w:pPr>
      <w:r w:rsidRPr="00E03DFF">
        <w:t xml:space="preserve">Доцент                                                     М.И. </w:t>
      </w:r>
      <w:proofErr w:type="spellStart"/>
      <w:r w:rsidRPr="00E03DFF">
        <w:t>Шелоник</w:t>
      </w:r>
      <w:proofErr w:type="spellEnd"/>
    </w:p>
    <w:p w:rsidR="00E03DFF" w:rsidRPr="00E03DFF" w:rsidRDefault="00E03DFF" w:rsidP="00E03DFF">
      <w:pPr>
        <w:ind w:firstLine="426"/>
      </w:pPr>
    </w:p>
    <w:p w:rsidR="00E03DFF" w:rsidRPr="00E03DFF" w:rsidRDefault="00E03DFF" w:rsidP="00E03DFF">
      <w:pPr>
        <w:ind w:firstLine="426"/>
      </w:pPr>
    </w:p>
    <w:p w:rsidR="009B5029" w:rsidRDefault="009B5029">
      <w:pPr>
        <w:ind w:firstLine="426"/>
      </w:pPr>
    </w:p>
    <w:sectPr w:rsidR="009B5029" w:rsidSect="00E03D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B3832"/>
    <w:multiLevelType w:val="hybridMultilevel"/>
    <w:tmpl w:val="0674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D2"/>
    <w:rsid w:val="008222D2"/>
    <w:rsid w:val="009B5029"/>
    <w:rsid w:val="00E03DFF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A7686-8108-4D4D-99D8-C829622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E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D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2019-12-03T11:03:00Z</cp:lastPrinted>
  <dcterms:created xsi:type="dcterms:W3CDTF">2019-12-03T11:04:00Z</dcterms:created>
  <dcterms:modified xsi:type="dcterms:W3CDTF">2019-12-03T11:04:00Z</dcterms:modified>
</cp:coreProperties>
</file>