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390"/>
      </w:tblGrid>
      <w:tr w:rsidR="00770924" w:rsidRPr="00770924" w14:paraId="4FE9E402" w14:textId="77777777" w:rsidTr="00664BEF">
        <w:tc>
          <w:tcPr>
            <w:tcW w:w="4965" w:type="dxa"/>
          </w:tcPr>
          <w:p w14:paraId="6EFAB208" w14:textId="77777777" w:rsidR="00770924" w:rsidRPr="00770924" w:rsidRDefault="00770924" w:rsidP="00770924">
            <w:pPr>
              <w:ind w:left="426"/>
              <w:rPr>
                <w:rFonts w:eastAsia="Calibri"/>
                <w:sz w:val="28"/>
                <w:szCs w:val="28"/>
                <w:lang w:eastAsia="ru-RU"/>
              </w:rPr>
            </w:pPr>
            <w:r w:rsidRPr="00770924">
              <w:rPr>
                <w:rFonts w:eastAsia="Calibri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770924">
              <w:rPr>
                <w:rFonts w:eastAsia="Calibri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770924">
              <w:rPr>
                <w:rFonts w:eastAsia="Calibri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770924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  <w:p w14:paraId="228CCFA0" w14:textId="77777777" w:rsidR="00770924" w:rsidRPr="00770924" w:rsidRDefault="00770924" w:rsidP="00770924">
            <w:pPr>
              <w:ind w:left="426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F05E433" w14:textId="77777777" w:rsidR="00770924" w:rsidRPr="00770924" w:rsidRDefault="00770924" w:rsidP="00770924">
            <w:pPr>
              <w:ind w:left="426"/>
              <w:rPr>
                <w:rFonts w:eastAsia="Calibri"/>
                <w:sz w:val="28"/>
                <w:szCs w:val="28"/>
                <w:lang w:eastAsia="ru-RU"/>
              </w:rPr>
            </w:pPr>
            <w:r w:rsidRPr="00770924">
              <w:rPr>
                <w:rFonts w:eastAsia="Calibri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hideMark/>
          </w:tcPr>
          <w:p w14:paraId="70103F68" w14:textId="77777777" w:rsidR="00770924" w:rsidRPr="00770924" w:rsidRDefault="00770924" w:rsidP="00770924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770924">
              <w:rPr>
                <w:rFonts w:eastAsia="Calibri"/>
                <w:sz w:val="28"/>
                <w:szCs w:val="28"/>
                <w:lang w:eastAsia="ru-RU"/>
              </w:rPr>
              <w:t>УТВЕРЖДЕНО</w:t>
            </w:r>
          </w:p>
          <w:p w14:paraId="3A5D728A" w14:textId="77777777" w:rsidR="00770924" w:rsidRPr="00770924" w:rsidRDefault="00770924" w:rsidP="00770924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770924">
              <w:rPr>
                <w:rFonts w:eastAsia="Calibri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2DFFF86B" w14:textId="3A444AFF" w:rsidR="00770924" w:rsidRPr="00770924" w:rsidRDefault="00770924" w:rsidP="00770924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770924">
              <w:rPr>
                <w:rFonts w:eastAsia="Calibri"/>
                <w:sz w:val="28"/>
                <w:szCs w:val="28"/>
                <w:lang w:eastAsia="ru-RU"/>
              </w:rPr>
              <w:t>от</w:t>
            </w:r>
            <w:proofErr w:type="gramEnd"/>
            <w:r w:rsidRPr="0077092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4769AA" w:rsidRPr="004769AA">
              <w:rPr>
                <w:rFonts w:eastAsia="Calibri"/>
                <w:sz w:val="28"/>
                <w:szCs w:val="28"/>
                <w:lang w:eastAsia="ru-RU"/>
              </w:rPr>
              <w:t>27.03.2025 № 15</w:t>
            </w:r>
          </w:p>
        </w:tc>
      </w:tr>
    </w:tbl>
    <w:p w14:paraId="5ADCF0F9" w14:textId="77777777" w:rsidR="00770924" w:rsidRPr="00770924" w:rsidRDefault="00770924" w:rsidP="0077092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9156EE6" w14:textId="77777777" w:rsidR="00770924" w:rsidRPr="00770924" w:rsidRDefault="00770924" w:rsidP="00770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</w:t>
      </w:r>
    </w:p>
    <w:p w14:paraId="764C63B7" w14:textId="77777777" w:rsidR="00770924" w:rsidRPr="00770924" w:rsidRDefault="00770924" w:rsidP="00770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A4E7A" w14:textId="71892DFB" w:rsidR="00770924" w:rsidRPr="00770924" w:rsidRDefault="00770924" w:rsidP="00770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770924">
        <w:rPr>
          <w:rFonts w:ascii="Times New Roman" w:eastAsia="Times New Roman" w:hAnsi="Times New Roman" w:cs="Times New Roman"/>
          <w:sz w:val="28"/>
          <w:szCs w:val="28"/>
          <w:lang w:eastAsia="be-BY"/>
        </w:rPr>
        <w:t>Организация внешнеэкономической деятельности в индустрии туризма и гостеприимства</w:t>
      </w:r>
      <w:r w:rsidRPr="007709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9C186D9" w14:textId="77777777" w:rsidR="00770924" w:rsidRPr="00770924" w:rsidRDefault="00770924" w:rsidP="00770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EF54B" w14:textId="386D5248" w:rsidR="00770924" w:rsidRPr="00770924" w:rsidRDefault="00770924" w:rsidP="00770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«Туризм и гостеприимство» (2 курс)</w:t>
      </w:r>
    </w:p>
    <w:p w14:paraId="7ED15D2C" w14:textId="77777777" w:rsidR="00DE300D" w:rsidRDefault="00DE300D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</w:p>
    <w:p w14:paraId="40F0537A" w14:textId="23829050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sz w:val="28"/>
          <w:szCs w:val="28"/>
        </w:rPr>
      </w:pPr>
      <w:r w:rsidRPr="005B714C">
        <w:rPr>
          <w:rFonts w:ascii="Times New Roman" w:hAnsi="Times New Roman" w:cs="TimesNewRomanPSMT"/>
          <w:sz w:val="28"/>
          <w:szCs w:val="28"/>
        </w:rPr>
        <w:t>Реформирование внешнеэкономической сферы.</w:t>
      </w:r>
    </w:p>
    <w:p w14:paraId="5EBF37C6" w14:textId="3C98B00E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sz w:val="28"/>
          <w:szCs w:val="28"/>
        </w:rPr>
      </w:pPr>
      <w:r w:rsidRPr="005B714C">
        <w:rPr>
          <w:rFonts w:ascii="Times New Roman" w:hAnsi="Times New Roman" w:cs="TimesNewRomanPSMT"/>
          <w:sz w:val="28"/>
          <w:szCs w:val="28"/>
        </w:rPr>
        <w:t>Внешнеэкономические связи и внешнеэкономическая деятельность.</w:t>
      </w:r>
    </w:p>
    <w:p w14:paraId="68CB9991" w14:textId="291CD9E8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sz w:val="28"/>
          <w:szCs w:val="28"/>
        </w:rPr>
      </w:pPr>
      <w:r w:rsidRPr="005B714C">
        <w:rPr>
          <w:rFonts w:ascii="Times New Roman" w:hAnsi="Times New Roman" w:cs="TimesNewRomanPSMT"/>
          <w:sz w:val="28"/>
          <w:szCs w:val="28"/>
        </w:rPr>
        <w:t>Основные формы и виды внешнеэкономической деятельности.</w:t>
      </w:r>
    </w:p>
    <w:p w14:paraId="65CF4C6E" w14:textId="01E75909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sz w:val="28"/>
          <w:szCs w:val="28"/>
        </w:rPr>
      </w:pPr>
      <w:r w:rsidRPr="005B714C">
        <w:rPr>
          <w:rFonts w:ascii="Times New Roman" w:hAnsi="Times New Roman" w:cs="TimesNewRomanPSMT"/>
          <w:sz w:val="28"/>
          <w:szCs w:val="28"/>
        </w:rPr>
        <w:t>Субъекты внешнеэкономической деятельности в индустрии туризма и гостеприимства.</w:t>
      </w:r>
    </w:p>
    <w:p w14:paraId="5CB4025C" w14:textId="24524B77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4C">
        <w:rPr>
          <w:rFonts w:ascii="Times New Roman" w:hAnsi="Times New Roman" w:cs="TimesNewRomanPSMT"/>
          <w:sz w:val="28"/>
          <w:szCs w:val="28"/>
        </w:rPr>
        <w:t>Новые тенденции и цели делового партнерства во внешнеэкономической деятельности</w:t>
      </w:r>
      <w:r w:rsidRPr="005B71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CB5A91" w14:textId="59CA5AB4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Факторы, обуславливающие государственное регулирование внешнеэкономической деятельности.</w:t>
      </w:r>
    </w:p>
    <w:p w14:paraId="145E29AC" w14:textId="4F69BDE6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Механизм государственного регулирования внешнеэкономической деятельности.</w:t>
      </w:r>
    </w:p>
    <w:p w14:paraId="7B71596A" w14:textId="152786D9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Мировая практика государственного регулирования внешнеэкономической деятельности: нетарифные методы регулирования; таможенно</w:t>
      </w:r>
      <w:r w:rsidRPr="005B714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B714C">
        <w:rPr>
          <w:rFonts w:ascii="Times New Roman" w:hAnsi="Times New Roman" w:cs="TimesNewRomanPSMT"/>
          <w:bCs/>
          <w:iCs/>
          <w:sz w:val="28"/>
          <w:szCs w:val="28"/>
        </w:rPr>
        <w:t>тарифное регулирование; валютно</w:t>
      </w:r>
      <w:r w:rsidRPr="005B714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B714C">
        <w:rPr>
          <w:rFonts w:ascii="Times New Roman" w:hAnsi="Times New Roman" w:cs="TimesNewRomanPSMT"/>
          <w:bCs/>
          <w:iCs/>
          <w:sz w:val="28"/>
          <w:szCs w:val="28"/>
        </w:rPr>
        <w:t>финансовое регулирование; налоговое регулирование.</w:t>
      </w:r>
    </w:p>
    <w:p w14:paraId="46802A1C" w14:textId="2F295186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Контрагенты на мировом рынке</w:t>
      </w:r>
      <w:r w:rsidRPr="005B714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DDC5A4D" w14:textId="6C8E7BA0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Классификация субъектов внешнеэкономической деятельности в индустрии туризма и гостеприимства.</w:t>
      </w:r>
    </w:p>
    <w:p w14:paraId="4981058D" w14:textId="146A24FC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Критерии выбора страны и организации контрагента.</w:t>
      </w:r>
    </w:p>
    <w:p w14:paraId="75BEDA4C" w14:textId="2E0F90FA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Механизм изучения зарубежного партнера.</w:t>
      </w:r>
    </w:p>
    <w:p w14:paraId="0D7D2CAA" w14:textId="6F61DF17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Что такое консалтинговые услуги. Виды консалтинговых услуг.</w:t>
      </w:r>
      <w:r w:rsidR="005B714C" w:rsidRPr="005B714C"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Основные группы консалтинговых услуг.</w:t>
      </w:r>
    </w:p>
    <w:p w14:paraId="16273E71" w14:textId="4CF108A8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Информационная поддержка внешнеэкономической деятельности.</w:t>
      </w:r>
    </w:p>
    <w:p w14:paraId="7A932FDE" w14:textId="72FE82A1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Внешнеэкономические операции</w:t>
      </w:r>
      <w:r w:rsidRPr="005B714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Виды внешнеэкономических операций.</w:t>
      </w:r>
    </w:p>
    <w:p w14:paraId="7BA0480A" w14:textId="439CF2E7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Сделки (операции) купли</w:t>
      </w:r>
      <w:r w:rsidRPr="005B714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продажи услуг.</w:t>
      </w:r>
    </w:p>
    <w:p w14:paraId="4EF89328" w14:textId="00C2B4B8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Конкурентоспособность экспортных товаров и услуг.</w:t>
      </w:r>
    </w:p>
    <w:p w14:paraId="6DBC07F1" w14:textId="6C2095BE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Содержание и принципы планирования</w:t>
      </w:r>
      <w:r w:rsidRPr="005B714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B714C" w:rsidRPr="005B71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B714C">
        <w:rPr>
          <w:rFonts w:ascii="Times New Roman" w:hAnsi="Times New Roman" w:cs="TimesNewRomanPSMT"/>
          <w:bCs/>
          <w:iCs/>
          <w:sz w:val="28"/>
          <w:szCs w:val="28"/>
        </w:rPr>
        <w:t>Структура планов.</w:t>
      </w:r>
    </w:p>
    <w:p w14:paraId="6189A4B5" w14:textId="29B884B2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lastRenderedPageBreak/>
        <w:t>Стратегическое планирование внешнеэкономической деятельности.</w:t>
      </w:r>
    </w:p>
    <w:p w14:paraId="78808CD7" w14:textId="5E51EF02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Показатели планирования внешнеэкономической деятельности.</w:t>
      </w:r>
    </w:p>
    <w:p w14:paraId="28F4CE50" w14:textId="2256104C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Подготовка и проведение переговорного процесса.</w:t>
      </w:r>
      <w:r w:rsidR="005B714C" w:rsidRPr="005B714C">
        <w:rPr>
          <w:rFonts w:ascii="Times New Roman" w:hAnsi="Times New Roman" w:cs="TimesNewRomanPSMT"/>
          <w:bCs/>
          <w:iCs/>
          <w:sz w:val="28"/>
          <w:szCs w:val="28"/>
        </w:rPr>
        <w:t xml:space="preserve"> </w:t>
      </w: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Правила ведения переговоров.</w:t>
      </w:r>
    </w:p>
    <w:p w14:paraId="529B9D9E" w14:textId="5153026D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Особенности ценообразования и ценовой стратегии во внешнеэкономической деятельности.</w:t>
      </w:r>
    </w:p>
    <w:p w14:paraId="36FA85F9" w14:textId="347AC267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Современные формы финансирования внешнеэкономической деятельности</w:t>
      </w:r>
      <w:r w:rsidR="005B714C" w:rsidRPr="005B714C">
        <w:rPr>
          <w:rFonts w:ascii="Times New Roman" w:hAnsi="Times New Roman" w:cs="TimesNewRomanPSMT"/>
          <w:bCs/>
          <w:iCs/>
          <w:sz w:val="28"/>
          <w:szCs w:val="28"/>
        </w:rPr>
        <w:t>.</w:t>
      </w:r>
    </w:p>
    <w:p w14:paraId="43F2778D" w14:textId="656534E3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NewRomanPSMT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Экологические требования и международные нормативы к товару.</w:t>
      </w:r>
    </w:p>
    <w:p w14:paraId="47E12ABF" w14:textId="42D160B6" w:rsidR="00625A87" w:rsidRPr="005B714C" w:rsidRDefault="00625A87" w:rsidP="005B71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714C">
        <w:rPr>
          <w:rFonts w:ascii="Times New Roman" w:hAnsi="Times New Roman" w:cs="TimesNewRomanPSMT"/>
          <w:bCs/>
          <w:iCs/>
          <w:sz w:val="28"/>
          <w:szCs w:val="28"/>
        </w:rPr>
        <w:t>Регулирование внешних сделок Венской конвенцией ООН о договора международной купли</w:t>
      </w:r>
      <w:r w:rsidRPr="005B714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5B714C">
        <w:rPr>
          <w:rFonts w:ascii="Times New Roman" w:hAnsi="Times New Roman" w:cs="TimesNewRomanPSMT"/>
          <w:bCs/>
          <w:iCs/>
          <w:sz w:val="28"/>
          <w:szCs w:val="28"/>
        </w:rPr>
        <w:t>продажи товаров. Структура Конвенции, область её применения</w:t>
      </w:r>
      <w:r w:rsidRPr="005B714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03C6487" w14:textId="77777777" w:rsidR="008329F2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</w:p>
    <w:p w14:paraId="47E952A1" w14:textId="77777777" w:rsidR="008329F2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</w:p>
    <w:p w14:paraId="5D13BE2F" w14:textId="77777777" w:rsidR="008329F2" w:rsidRDefault="008329F2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</w:p>
    <w:p w14:paraId="26AF58BC" w14:textId="0B9C721B" w:rsidR="00707A10" w:rsidRDefault="00770924" w:rsidP="00770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IDFont+F1"/>
          <w:sz w:val="28"/>
          <w:szCs w:val="28"/>
        </w:rPr>
      </w:pPr>
      <w:r w:rsidRPr="00770924">
        <w:rPr>
          <w:rFonts w:ascii="Times New Roman" w:hAnsi="Times New Roman" w:cs="CIDFont+F1"/>
          <w:sz w:val="28"/>
          <w:szCs w:val="28"/>
        </w:rPr>
        <w:t>Старший преподаватель</w:t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 w:rsidR="008329F2">
        <w:rPr>
          <w:rFonts w:ascii="Times New Roman" w:hAnsi="Times New Roman" w:cs="CIDFont+F1"/>
          <w:sz w:val="28"/>
          <w:szCs w:val="28"/>
        </w:rPr>
        <w:t>Н.И. Сухонос</w:t>
      </w:r>
    </w:p>
    <w:p w14:paraId="034C4B45" w14:textId="77777777" w:rsidR="00770924" w:rsidRDefault="00770924" w:rsidP="00770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</w:p>
    <w:p w14:paraId="18263A65" w14:textId="77777777" w:rsidR="00770924" w:rsidRPr="00770924" w:rsidRDefault="00770924" w:rsidP="00770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14:paraId="0D9AF1FC" w14:textId="77777777" w:rsidR="00770924" w:rsidRPr="00770924" w:rsidRDefault="00770924" w:rsidP="0077092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770924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Заведующий кафедрой </w:t>
      </w:r>
      <w:r w:rsidRPr="00770924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Pr="00770924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Pr="00770924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Pr="00770924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Pr="00770924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Pr="00770924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</w:r>
      <w:r w:rsidRPr="00770924">
        <w:rPr>
          <w:rFonts w:ascii="Times New Roman" w:eastAsia="Times New Roman" w:hAnsi="Times New Roman" w:cs="Times New Roman"/>
          <w:sz w:val="28"/>
          <w:szCs w:val="28"/>
          <w:lang w:eastAsia="be-BY"/>
        </w:rPr>
        <w:tab/>
        <w:t>О.И. Грядунова</w:t>
      </w:r>
    </w:p>
    <w:p w14:paraId="06A4AE63" w14:textId="76C2D2B2" w:rsidR="00707A10" w:rsidRDefault="00707A10" w:rsidP="00832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IDFont+F1"/>
          <w:sz w:val="28"/>
          <w:szCs w:val="28"/>
        </w:rPr>
      </w:pPr>
    </w:p>
    <w:sectPr w:rsidR="0070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133"/>
    <w:multiLevelType w:val="hybridMultilevel"/>
    <w:tmpl w:val="38406D5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4116A6"/>
    <w:multiLevelType w:val="hybridMultilevel"/>
    <w:tmpl w:val="C758083A"/>
    <w:lvl w:ilvl="0" w:tplc="E40E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E6544A"/>
    <w:multiLevelType w:val="hybridMultilevel"/>
    <w:tmpl w:val="21925C56"/>
    <w:lvl w:ilvl="0" w:tplc="EC3EB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0D"/>
    <w:rsid w:val="000446A3"/>
    <w:rsid w:val="00097CD2"/>
    <w:rsid w:val="004769AA"/>
    <w:rsid w:val="005B714C"/>
    <w:rsid w:val="00625A87"/>
    <w:rsid w:val="00707A10"/>
    <w:rsid w:val="00770924"/>
    <w:rsid w:val="008329F2"/>
    <w:rsid w:val="00BA0ECC"/>
    <w:rsid w:val="00C32667"/>
    <w:rsid w:val="00D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009D"/>
  <w15:docId w15:val="{88EA316F-4605-47B4-A34B-EAC4FF2A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0D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770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70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User-121</cp:lastModifiedBy>
  <cp:revision>13</cp:revision>
  <cp:lastPrinted>2023-03-02T12:07:00Z</cp:lastPrinted>
  <dcterms:created xsi:type="dcterms:W3CDTF">2022-10-08T17:59:00Z</dcterms:created>
  <dcterms:modified xsi:type="dcterms:W3CDTF">2025-04-11T06:07:00Z</dcterms:modified>
</cp:coreProperties>
</file>