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A6" w:rsidRPr="001D2308" w:rsidRDefault="00691CA6" w:rsidP="00691CA6">
      <w:pPr>
        <w:jc w:val="center"/>
        <w:rPr>
          <w:rFonts w:ascii="Times New Roman" w:hAnsi="Times New Roman"/>
          <w:b/>
          <w:sz w:val="28"/>
          <w:szCs w:val="28"/>
        </w:rPr>
      </w:pPr>
      <w:r w:rsidRPr="001D2308">
        <w:rPr>
          <w:rFonts w:ascii="Times New Roman" w:hAnsi="Times New Roman"/>
          <w:b/>
          <w:sz w:val="28"/>
          <w:szCs w:val="28"/>
        </w:rPr>
        <w:t xml:space="preserve">Магистерские </w:t>
      </w:r>
      <w:r w:rsidR="00574FCE">
        <w:rPr>
          <w:rFonts w:ascii="Times New Roman" w:hAnsi="Times New Roman"/>
          <w:b/>
          <w:sz w:val="28"/>
          <w:szCs w:val="28"/>
        </w:rPr>
        <w:t>диссертации и дипломные работы</w:t>
      </w:r>
      <w:r w:rsidR="00574FCE" w:rsidRPr="00574FCE">
        <w:rPr>
          <w:rFonts w:ascii="Times New Roman" w:hAnsi="Times New Roman"/>
          <w:b/>
          <w:sz w:val="28"/>
          <w:szCs w:val="28"/>
        </w:rPr>
        <w:t xml:space="preserve"> – </w:t>
      </w:r>
      <w:r w:rsidR="00574FCE">
        <w:rPr>
          <w:rFonts w:ascii="Times New Roman" w:hAnsi="Times New Roman"/>
          <w:b/>
          <w:sz w:val="28"/>
          <w:szCs w:val="28"/>
        </w:rPr>
        <w:t xml:space="preserve">победители </w:t>
      </w:r>
      <w:r w:rsidRPr="001D2308">
        <w:rPr>
          <w:rFonts w:ascii="Times New Roman" w:hAnsi="Times New Roman"/>
          <w:b/>
          <w:sz w:val="28"/>
          <w:szCs w:val="28"/>
        </w:rPr>
        <w:t>конкурса на лучшую дипломную работу</w:t>
      </w:r>
    </w:p>
    <w:p w:rsidR="0078534B" w:rsidRDefault="00691CA6" w:rsidP="00691CA6">
      <w:pPr>
        <w:jc w:val="center"/>
        <w:rPr>
          <w:rFonts w:ascii="Times New Roman" w:hAnsi="Times New Roman"/>
          <w:b/>
          <w:sz w:val="28"/>
          <w:szCs w:val="28"/>
        </w:rPr>
      </w:pPr>
      <w:r w:rsidRPr="001D2308">
        <w:rPr>
          <w:rFonts w:ascii="Times New Roman" w:hAnsi="Times New Roman"/>
          <w:b/>
          <w:sz w:val="28"/>
          <w:szCs w:val="28"/>
        </w:rPr>
        <w:t xml:space="preserve">и магистерскую диссертацию по </w:t>
      </w:r>
      <w:r w:rsidR="006076B9" w:rsidRPr="001D2308">
        <w:rPr>
          <w:rFonts w:ascii="Times New Roman" w:hAnsi="Times New Roman"/>
          <w:b/>
          <w:sz w:val="28"/>
          <w:szCs w:val="28"/>
        </w:rPr>
        <w:t>гуманитарным</w:t>
      </w:r>
      <w:r w:rsidRPr="001D2308">
        <w:rPr>
          <w:rFonts w:ascii="Times New Roman" w:hAnsi="Times New Roman"/>
          <w:b/>
          <w:sz w:val="28"/>
          <w:szCs w:val="28"/>
        </w:rPr>
        <w:t xml:space="preserve"> специальностям</w:t>
      </w:r>
    </w:p>
    <w:p w:rsidR="009C23D4" w:rsidRPr="001D2308" w:rsidRDefault="009C23D4" w:rsidP="00691CA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824" w:type="dxa"/>
        <w:jc w:val="center"/>
        <w:tblLook w:val="04A0" w:firstRow="1" w:lastRow="0" w:firstColumn="1" w:lastColumn="0" w:noHBand="0" w:noVBand="1"/>
      </w:tblPr>
      <w:tblGrid>
        <w:gridCol w:w="3964"/>
        <w:gridCol w:w="11860"/>
      </w:tblGrid>
      <w:tr w:rsidR="00691CA6" w:rsidRPr="001D2308" w:rsidTr="00963439">
        <w:trPr>
          <w:tblHeader/>
          <w:jc w:val="center"/>
        </w:trPr>
        <w:tc>
          <w:tcPr>
            <w:tcW w:w="15824" w:type="dxa"/>
            <w:gridSpan w:val="2"/>
          </w:tcPr>
          <w:p w:rsidR="00691CA6" w:rsidRPr="001D2308" w:rsidRDefault="00691CA6" w:rsidP="006076B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D2308">
              <w:rPr>
                <w:rFonts w:ascii="Times New Roman" w:hAnsi="Times New Roman"/>
                <w:b/>
                <w:sz w:val="28"/>
              </w:rPr>
              <w:t xml:space="preserve">Магистерские диссертации по </w:t>
            </w:r>
            <w:r w:rsidR="006076B9" w:rsidRPr="001D2308">
              <w:rPr>
                <w:rFonts w:ascii="Times New Roman" w:hAnsi="Times New Roman"/>
                <w:b/>
                <w:sz w:val="28"/>
              </w:rPr>
              <w:t>гуманитарным</w:t>
            </w:r>
            <w:r w:rsidRPr="001D2308">
              <w:rPr>
                <w:rFonts w:ascii="Times New Roman" w:hAnsi="Times New Roman"/>
                <w:b/>
                <w:sz w:val="28"/>
              </w:rPr>
              <w:t xml:space="preserve"> специальностям</w:t>
            </w:r>
          </w:p>
        </w:tc>
      </w:tr>
      <w:tr w:rsidR="00963439" w:rsidRPr="001D2308" w:rsidTr="00963439">
        <w:trPr>
          <w:trHeight w:val="534"/>
          <w:tblHeader/>
          <w:jc w:val="center"/>
        </w:trPr>
        <w:tc>
          <w:tcPr>
            <w:tcW w:w="3964" w:type="dxa"/>
            <w:vAlign w:val="center"/>
          </w:tcPr>
          <w:p w:rsidR="00963439" w:rsidRPr="001D2308" w:rsidRDefault="00963439" w:rsidP="006076B9">
            <w:pPr>
              <w:jc w:val="center"/>
              <w:rPr>
                <w:rFonts w:ascii="Times New Roman" w:hAnsi="Times New Roman"/>
                <w:b/>
              </w:rPr>
            </w:pPr>
            <w:r w:rsidRPr="001D2308">
              <w:rPr>
                <w:rFonts w:ascii="Times New Roman" w:hAnsi="Times New Roman"/>
                <w:b/>
              </w:rPr>
              <w:t>Автор работы</w:t>
            </w:r>
          </w:p>
        </w:tc>
        <w:tc>
          <w:tcPr>
            <w:tcW w:w="11860" w:type="dxa"/>
            <w:vAlign w:val="center"/>
          </w:tcPr>
          <w:p w:rsidR="00963439" w:rsidRPr="001D2308" w:rsidRDefault="00963439" w:rsidP="00691CA6">
            <w:pPr>
              <w:ind w:firstLine="318"/>
              <w:jc w:val="center"/>
              <w:rPr>
                <w:rFonts w:ascii="Times New Roman" w:hAnsi="Times New Roman"/>
                <w:b/>
              </w:rPr>
            </w:pPr>
            <w:r w:rsidRPr="001D2308">
              <w:rPr>
                <w:rFonts w:ascii="Times New Roman" w:hAnsi="Times New Roman"/>
                <w:b/>
              </w:rPr>
              <w:t>Тема магистерской диссертации и краткая аннотация</w:t>
            </w:r>
          </w:p>
        </w:tc>
      </w:tr>
      <w:tr w:rsidR="00963439" w:rsidRPr="008E227A" w:rsidTr="00963439">
        <w:trPr>
          <w:jc w:val="center"/>
        </w:trPr>
        <w:tc>
          <w:tcPr>
            <w:tcW w:w="3964" w:type="dxa"/>
          </w:tcPr>
          <w:p w:rsidR="00963439" w:rsidRPr="001D2308" w:rsidRDefault="00963439" w:rsidP="006076B9">
            <w:pPr>
              <w:rPr>
                <w:rFonts w:ascii="Times New Roman" w:hAnsi="Times New Roman"/>
              </w:rPr>
            </w:pPr>
            <w:proofErr w:type="spellStart"/>
            <w:r w:rsidRPr="001D2308">
              <w:rPr>
                <w:rFonts w:ascii="Times New Roman" w:hAnsi="Times New Roman"/>
                <w:b/>
              </w:rPr>
              <w:t>Вертейко</w:t>
            </w:r>
            <w:proofErr w:type="spellEnd"/>
            <w:r w:rsidRPr="001D2308">
              <w:rPr>
                <w:rFonts w:ascii="Times New Roman" w:hAnsi="Times New Roman"/>
                <w:b/>
              </w:rPr>
              <w:t xml:space="preserve"> Екатерина Евгеньевна</w:t>
            </w:r>
            <w:r w:rsidRPr="001D2308">
              <w:rPr>
                <w:rFonts w:ascii="Times New Roman" w:hAnsi="Times New Roman"/>
              </w:rPr>
              <w:t>,</w:t>
            </w:r>
          </w:p>
          <w:p w:rsidR="00963439" w:rsidRPr="001D2308" w:rsidRDefault="00963439" w:rsidP="006076B9">
            <w:pPr>
              <w:rPr>
                <w:rFonts w:ascii="Times New Roman" w:hAnsi="Times New Roman"/>
                <w:lang w:val="be-BY"/>
              </w:rPr>
            </w:pPr>
            <w:r w:rsidRPr="001D2308">
              <w:rPr>
                <w:rFonts w:ascii="Times New Roman" w:hAnsi="Times New Roman"/>
              </w:rPr>
              <w:t>филологический факультет</w:t>
            </w:r>
          </w:p>
        </w:tc>
        <w:tc>
          <w:tcPr>
            <w:tcW w:w="11860" w:type="dxa"/>
          </w:tcPr>
          <w:p w:rsidR="00963439" w:rsidRPr="008E227A" w:rsidRDefault="00963439" w:rsidP="00691CA6">
            <w:pPr>
              <w:ind w:firstLine="317"/>
              <w:jc w:val="both"/>
              <w:rPr>
                <w:rFonts w:ascii="Times New Roman" w:hAnsi="Times New Roman"/>
                <w:b/>
                <w:lang w:val="be-BY"/>
              </w:rPr>
            </w:pPr>
            <w:r w:rsidRPr="008E227A">
              <w:rPr>
                <w:rFonts w:ascii="Times New Roman" w:hAnsi="Times New Roman"/>
                <w:b/>
                <w:lang w:val="be-BY"/>
              </w:rPr>
              <w:t>Управление глаголов в русском и польском языках: семантико-синтактический аспект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i/>
                <w:szCs w:val="28"/>
              </w:rPr>
            </w:pPr>
            <w:r w:rsidRPr="008E227A">
              <w:rPr>
                <w:rFonts w:ascii="Times New Roman" w:eastAsiaTheme="minorHAnsi" w:hAnsi="Times New Roman"/>
                <w:i/>
                <w:szCs w:val="28"/>
              </w:rPr>
              <w:t>Объект исследования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 xml:space="preserve"> – </w:t>
            </w:r>
            <w:r w:rsidRPr="008E227A">
              <w:rPr>
                <w:rFonts w:ascii="Times New Roman" w:eastAsiaTheme="minorHAnsi" w:hAnsi="Times New Roman"/>
                <w:szCs w:val="28"/>
              </w:rPr>
              <w:t>глагольное управление в русском и польском языках</w:t>
            </w:r>
            <w:r w:rsidRPr="008E227A">
              <w:rPr>
                <w:rFonts w:ascii="Times New Roman" w:eastAsiaTheme="minorHAnsi" w:hAnsi="Times New Roman"/>
                <w:i/>
                <w:szCs w:val="28"/>
              </w:rPr>
              <w:t xml:space="preserve"> 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i/>
                <w:szCs w:val="28"/>
              </w:rPr>
              <w:t>Предмет изучения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– общие и дифференциальные модели управления глаголов со значением психической д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ятельности в русском и польском языках. 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i/>
                <w:szCs w:val="28"/>
              </w:rPr>
              <w:t>Цель магистерской диссертации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– выявить специфику семантико-синтаксического аспекта управления в русском и польском языках на материале глаголов со значением психической деятельности.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i/>
                <w:szCs w:val="28"/>
              </w:rPr>
              <w:t>Задачи исследования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. </w:t>
            </w:r>
          </w:p>
          <w:p w:rsidR="00963439" w:rsidRPr="008E227A" w:rsidRDefault="00963439" w:rsidP="008E227A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 xml:space="preserve">1. Установить факторы, определяющие характер глагольного управления, на основе анализа теоретических положений современного синтаксиса и языковых фактов сопоставляемых языков. </w:t>
            </w:r>
          </w:p>
          <w:p w:rsidR="00963439" w:rsidRPr="008E227A" w:rsidRDefault="00963439" w:rsidP="008E227A">
            <w:pPr>
              <w:ind w:firstLine="317"/>
              <w:jc w:val="both"/>
              <w:rPr>
                <w:rFonts w:ascii="Times New Roman" w:eastAsiaTheme="minorHAnsi" w:hAnsi="Times New Roman"/>
                <w:b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2. </w:t>
            </w:r>
            <w:r>
              <w:rPr>
                <w:rFonts w:ascii="Times New Roman" w:eastAsiaTheme="minorHAnsi" w:hAnsi="Times New Roman"/>
                <w:szCs w:val="28"/>
              </w:rPr>
              <w:t xml:space="preserve">Охарактеризовать особенности 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управления коррелятивных глаголов  психической деятельности в ру</w:t>
            </w:r>
            <w:r w:rsidRPr="008E227A">
              <w:rPr>
                <w:rFonts w:ascii="Times New Roman" w:eastAsiaTheme="minorHAnsi" w:hAnsi="Times New Roman"/>
                <w:szCs w:val="28"/>
              </w:rPr>
              <w:t>с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ском и польском языках путем построения схем полного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контрастивного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описания их </w:t>
            </w:r>
            <w:r w:rsidRPr="00D22745">
              <w:rPr>
                <w:rFonts w:ascii="Times New Roman" w:eastAsiaTheme="minorHAnsi" w:hAnsi="Times New Roman"/>
                <w:szCs w:val="28"/>
              </w:rPr>
              <w:t>валентности  с целью уточн</w:t>
            </w:r>
            <w:r w:rsidRPr="00D22745">
              <w:rPr>
                <w:rFonts w:ascii="Times New Roman" w:eastAsiaTheme="minorHAnsi" w:hAnsi="Times New Roman"/>
                <w:szCs w:val="28"/>
              </w:rPr>
              <w:t>е</w:t>
            </w:r>
            <w:r w:rsidRPr="00D22745">
              <w:rPr>
                <w:rFonts w:ascii="Times New Roman" w:eastAsiaTheme="minorHAnsi" w:hAnsi="Times New Roman"/>
                <w:szCs w:val="28"/>
              </w:rPr>
              <w:t>ния</w:t>
            </w:r>
            <w:r>
              <w:rPr>
                <w:rFonts w:ascii="Times New Roman" w:eastAsiaTheme="minorHAnsi" w:hAnsi="Times New Roman"/>
                <w:b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Cs w:val="28"/>
              </w:rPr>
              <w:t>методики</w:t>
            </w: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 xml:space="preserve"> сопоставительного семантико-синтаксического </w:t>
            </w:r>
            <w:r>
              <w:rPr>
                <w:rFonts w:ascii="Times New Roman" w:eastAsiaTheme="minorHAnsi" w:hAnsi="Times New Roman"/>
                <w:color w:val="000000"/>
                <w:szCs w:val="28"/>
              </w:rPr>
              <w:t>анализа</w:t>
            </w: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 xml:space="preserve"> глагольной лексики</w:t>
            </w:r>
            <w:r>
              <w:rPr>
                <w:rFonts w:ascii="Times New Roman" w:eastAsiaTheme="minorHAnsi" w:hAnsi="Times New Roman"/>
                <w:color w:val="000000"/>
                <w:szCs w:val="28"/>
              </w:rPr>
              <w:t xml:space="preserve"> в родственных яз</w:t>
            </w:r>
            <w:r>
              <w:rPr>
                <w:rFonts w:ascii="Times New Roman" w:eastAsiaTheme="minorHAnsi" w:hAnsi="Times New Roman"/>
                <w:color w:val="000000"/>
                <w:szCs w:val="28"/>
              </w:rPr>
              <w:t>ы</w:t>
            </w:r>
            <w:r>
              <w:rPr>
                <w:rFonts w:ascii="Times New Roman" w:eastAsiaTheme="minorHAnsi" w:hAnsi="Times New Roman"/>
                <w:color w:val="000000"/>
                <w:szCs w:val="28"/>
              </w:rPr>
              <w:t>ках.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3. Выявить общие и различные модели управления глаголов со значением психической деятельности в ру</w:t>
            </w:r>
            <w:r w:rsidRPr="008E227A">
              <w:rPr>
                <w:rFonts w:ascii="Times New Roman" w:eastAsiaTheme="minorHAnsi" w:hAnsi="Times New Roman"/>
                <w:szCs w:val="28"/>
              </w:rPr>
              <w:t>с</w:t>
            </w:r>
            <w:r w:rsidRPr="008E227A">
              <w:rPr>
                <w:rFonts w:ascii="Times New Roman" w:eastAsiaTheme="minorHAnsi" w:hAnsi="Times New Roman"/>
                <w:szCs w:val="28"/>
              </w:rPr>
              <w:t>ском и польском языках.</w:t>
            </w:r>
          </w:p>
          <w:p w:rsidR="00963439" w:rsidRPr="008E227A" w:rsidRDefault="00963439" w:rsidP="00F92C05">
            <w:pPr>
              <w:tabs>
                <w:tab w:val="left" w:pos="1134"/>
              </w:tabs>
              <w:spacing w:before="120"/>
              <w:ind w:firstLine="318"/>
              <w:jc w:val="both"/>
              <w:rPr>
                <w:rFonts w:ascii="Times New Roman" w:eastAsiaTheme="minorHAnsi" w:hAnsi="Times New Roman"/>
                <w:i/>
                <w:iCs/>
                <w:szCs w:val="28"/>
              </w:rPr>
            </w:pPr>
            <w:r w:rsidRPr="008E227A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Новизна полученных результатов</w:t>
            </w:r>
          </w:p>
          <w:p w:rsidR="00963439" w:rsidRPr="008E227A" w:rsidRDefault="00963439" w:rsidP="00F92C05">
            <w:pPr>
              <w:ind w:firstLine="317"/>
              <w:contextualSpacing/>
              <w:jc w:val="both"/>
              <w:rPr>
                <w:rFonts w:ascii="Times New Roman" w:eastAsiaTheme="minorHAnsi" w:hAnsi="Times New Roman"/>
                <w:color w:val="000000"/>
                <w:szCs w:val="28"/>
              </w:rPr>
            </w:pP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 xml:space="preserve">В работе впервые проведен полный </w:t>
            </w:r>
            <w:proofErr w:type="spellStart"/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>контрастивный</w:t>
            </w:r>
            <w:proofErr w:type="spellEnd"/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 xml:space="preserve"> семантико-синтаксический анализ управления глаголов со значением психической деятельности в русском и польском языках. Уточнена методика сопостав</w:t>
            </w: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>и</w:t>
            </w: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>тельного семантико-синтаксического описания глагольной лексики. Впервые установлены общие и дифф</w:t>
            </w: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>ренциальные модели управления в отдельном лексико-семантическом поле глагольной лексики.</w:t>
            </w:r>
          </w:p>
          <w:p w:rsidR="00963439" w:rsidRPr="008E227A" w:rsidRDefault="00963439" w:rsidP="00F92C05">
            <w:pPr>
              <w:spacing w:before="120"/>
              <w:ind w:firstLine="318"/>
              <w:jc w:val="both"/>
              <w:rPr>
                <w:rFonts w:ascii="Times New Roman" w:eastAsiaTheme="minorHAnsi" w:hAnsi="Times New Roman"/>
                <w:i/>
                <w:color w:val="000000"/>
                <w:szCs w:val="28"/>
              </w:rPr>
            </w:pPr>
            <w:r w:rsidRPr="008E227A">
              <w:rPr>
                <w:rFonts w:ascii="Times New Roman" w:eastAsiaTheme="minorHAnsi" w:hAnsi="Times New Roman"/>
                <w:i/>
                <w:szCs w:val="28"/>
              </w:rPr>
              <w:t>Положения, выносимые на защиту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1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. </w:t>
            </w:r>
            <w:r w:rsidRPr="008E227A">
              <w:rPr>
                <w:rFonts w:ascii="Times New Roman" w:eastAsiaTheme="minorHAnsi" w:hAnsi="Times New Roman"/>
                <w:szCs w:val="28"/>
              </w:rPr>
              <w:t>Семантико-синтаксическая характеристика глагола обусловлена следующими факторами: синтаксич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ской и семантической валентностями, актантной структурой и лексической сочетаемостью.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Синтаксическая в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а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лентность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– число позиций управления глагола, их обязательный или факультативный характер.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Семантич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ская валентность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включает широкие классы значений управляемых лексем (одушевленность, вещ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ственность, конкретность, абстрактность и др.),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лексическая сочетаемость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– более мелкие лексические группы, опред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>ленные лексемы и их синонимические ряды. Набор семантических валентностей является неизменным во всех употреблениях лексемы, а способ выражения отдельных семантических валентностей при синтаксических ре</w:t>
            </w:r>
            <w:r w:rsidRPr="008E227A">
              <w:rPr>
                <w:rFonts w:ascii="Times New Roman" w:eastAsiaTheme="minorHAnsi" w:hAnsi="Times New Roman"/>
                <w:szCs w:val="28"/>
              </w:rPr>
              <w:t>а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лизациях лексемы может меняться.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Актантная структура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глагольной лексемы обусловлена числом и характ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lastRenderedPageBreak/>
              <w:t>ром  актантов, обязательных для глагола. Значение актантов заложено в семантике глагола, определяется его в</w:t>
            </w:r>
            <w:r w:rsidRPr="008E227A">
              <w:rPr>
                <w:rFonts w:ascii="Times New Roman" w:eastAsiaTheme="minorHAnsi" w:hAnsi="Times New Roman"/>
                <w:szCs w:val="28"/>
              </w:rPr>
              <w:t>а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лентностью. 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 xml:space="preserve">2. </w:t>
            </w:r>
            <w:r w:rsidRPr="008E227A">
              <w:rPr>
                <w:rFonts w:ascii="Times New Roman" w:eastAsiaTheme="minorHAnsi" w:hAnsi="Times New Roman"/>
                <w:b/>
                <w:i/>
                <w:color w:val="000000" w:themeColor="text1"/>
                <w:szCs w:val="28"/>
              </w:rPr>
              <w:t>Валентность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 xml:space="preserve"> глагола является отражением глубинной структуры высказывания, поскольку лексема, в с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и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 xml:space="preserve">лу особенностей своего значения, требует обязательного пояснения другой лексемой. </w:t>
            </w:r>
            <w:r w:rsidRPr="008E227A">
              <w:rPr>
                <w:rFonts w:ascii="Times New Roman" w:eastAsiaTheme="minorHAnsi" w:hAnsi="Times New Roman"/>
                <w:b/>
                <w:i/>
                <w:color w:val="000000" w:themeColor="text1"/>
                <w:szCs w:val="28"/>
              </w:rPr>
              <w:t>Управление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 xml:space="preserve"> – понятие б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о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 xml:space="preserve">лее узкое по сравнению с валентностью; оно охватывает лишь те </w:t>
            </w:r>
            <w:proofErr w:type="spellStart"/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валентностные</w:t>
            </w:r>
            <w:proofErr w:type="spellEnd"/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 xml:space="preserve"> схемы, в которых главная ле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к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сема требует определенной падежной или предложно-падежной формы зависимого слова. Глагольное управл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ние является поверхностной репрезентацией глубинной структуры. Таким образом, понятия валентность и управление взаимосвязаны как содержание и одна из форм реализации значения глагола в высказывании. Отл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и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чия в управлении, относящиеся к поверхностному синтаксису, не обоснованы семантически, а обусловлены определенными тенденциями в развитии синтаксических систем русского и польского языков, и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с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торическими и этническими традициями, создававшимися различными народами в ходе познания объективной действительн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о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сти, межъязыковыми контакт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а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 xml:space="preserve">ми, различными дискурсивными практиками. 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 xml:space="preserve">3. Наиболее релевантной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методикой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семантико-синтаксического анализа моделей глагольного управл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ния, с нашей точки зрения, является методика построения схем полного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контрастивного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описания валентности корр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лятивных глаголов в сопоставляемых языках. Данная схема содержит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контрастивное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описание семантики, в</w:t>
            </w:r>
            <w:r w:rsidRPr="008E227A">
              <w:rPr>
                <w:rFonts w:ascii="Times New Roman" w:eastAsiaTheme="minorHAnsi" w:hAnsi="Times New Roman"/>
                <w:szCs w:val="28"/>
              </w:rPr>
              <w:t>а</w:t>
            </w:r>
            <w:r w:rsidRPr="008E227A">
              <w:rPr>
                <w:rFonts w:ascii="Times New Roman" w:eastAsiaTheme="minorHAnsi" w:hAnsi="Times New Roman"/>
                <w:szCs w:val="28"/>
              </w:rPr>
              <w:t>лентности (с грамматической расшифровкой), вариантов обязательного и факультативного упра</w:t>
            </w:r>
            <w:r w:rsidRPr="008E227A">
              <w:rPr>
                <w:rFonts w:ascii="Times New Roman" w:eastAsiaTheme="minorHAnsi" w:hAnsi="Times New Roman"/>
                <w:szCs w:val="28"/>
              </w:rPr>
              <w:t>в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ления глаголов. Большинство сопоставляемых глаголов являются многозначными, и такой анализ позволяет выявить сходства и различия в управлении в разных значениях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полисемантов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. Использование данной метод</w:t>
            </w:r>
            <w:r w:rsidRPr="008E227A">
              <w:rPr>
                <w:rFonts w:ascii="Times New Roman" w:eastAsiaTheme="minorHAnsi" w:hAnsi="Times New Roman"/>
                <w:szCs w:val="28"/>
              </w:rPr>
              <w:t>и</w:t>
            </w:r>
            <w:r w:rsidRPr="008E227A">
              <w:rPr>
                <w:rFonts w:ascii="Times New Roman" w:eastAsiaTheme="minorHAnsi" w:hAnsi="Times New Roman"/>
                <w:szCs w:val="28"/>
              </w:rPr>
              <w:t>ки выявило, с одной стороны, особенности глагольной сочетаемости в двух славянских языках, а с другой, позволило доказать, что семантико-синтаксическая специфика глаголов со значением психической деятельности не ограничивается т</w:t>
            </w:r>
            <w:r w:rsidRPr="008E227A">
              <w:rPr>
                <w:rFonts w:ascii="Times New Roman" w:eastAsiaTheme="minorHAnsi" w:hAnsi="Times New Roman"/>
                <w:szCs w:val="28"/>
              </w:rPr>
              <w:t>и</w:t>
            </w:r>
            <w:r w:rsidRPr="008E227A">
              <w:rPr>
                <w:rFonts w:ascii="Times New Roman" w:eastAsiaTheme="minorHAnsi" w:hAnsi="Times New Roman"/>
                <w:szCs w:val="28"/>
              </w:rPr>
              <w:t>пом управления, а имеет универсальный, общеславянский х</w:t>
            </w:r>
            <w:r w:rsidRPr="008E227A">
              <w:rPr>
                <w:rFonts w:ascii="Times New Roman" w:eastAsiaTheme="minorHAnsi" w:hAnsi="Times New Roman"/>
                <w:szCs w:val="28"/>
              </w:rPr>
              <w:t>а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рактер, 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относящийся в большей степени к плану содержания синтаксических моделей и их составляющих – синтаксических позиций. Специфические модели управления относятся к плану выражения семантики глаголов. Поскольку структурные схемы представляют единство этих двух планов, то правомерно рассматривать универсальность и специфичность моделей управл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color w:val="000000" w:themeColor="text1"/>
                <w:szCs w:val="28"/>
              </w:rPr>
              <w:t>ния как диалектически дополняющие друг друга свойства.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 xml:space="preserve">4. Семантико-синтаксический анализ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240 русских и 270 польских глаголов</w:t>
            </w:r>
            <w:r w:rsidRPr="008E227A">
              <w:rPr>
                <w:rFonts w:ascii="Times New Roman" w:eastAsiaTheme="minorHAnsi" w:hAnsi="Times New Roman"/>
                <w:szCs w:val="28"/>
              </w:rPr>
              <w:t>, принадлежащих к лекс</w:t>
            </w:r>
            <w:r w:rsidRPr="008E227A">
              <w:rPr>
                <w:rFonts w:ascii="Times New Roman" w:eastAsiaTheme="minorHAnsi" w:hAnsi="Times New Roman"/>
                <w:szCs w:val="28"/>
              </w:rPr>
              <w:t>и</w:t>
            </w:r>
            <w:r w:rsidRPr="008E227A">
              <w:rPr>
                <w:rFonts w:ascii="Times New Roman" w:eastAsiaTheme="minorHAnsi" w:hAnsi="Times New Roman"/>
                <w:szCs w:val="28"/>
              </w:rPr>
              <w:t>ко-семантической группе глаголов со значением психической деятельности, показал, что каждая синтаксич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>ская позиция как элемент структурной схемы обладает своим основным, наиболее типичным вариантом выраж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ния. </w:t>
            </w:r>
            <w:proofErr w:type="gramStart"/>
            <w:r w:rsidRPr="008E227A">
              <w:rPr>
                <w:rFonts w:ascii="Times New Roman" w:eastAsiaTheme="minorHAnsi" w:hAnsi="Times New Roman"/>
                <w:szCs w:val="28"/>
              </w:rPr>
              <w:t xml:space="preserve">Для исследуемого поля коррелятивных глаголов характерно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 xml:space="preserve">15 общих 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и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39 дифференциальных моделей упра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в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ления</w:t>
            </w:r>
            <w:r w:rsidRPr="008E227A">
              <w:rPr>
                <w:rFonts w:ascii="Times New Roman" w:eastAsiaTheme="minorHAnsi" w:hAnsi="Times New Roman"/>
                <w:szCs w:val="28"/>
              </w:rPr>
              <w:t>: глаголы ощущения и глаголы желания имеют 3 модели общего управления и 4 модели дифференциал</w:t>
            </w:r>
            <w:r w:rsidRPr="008E227A">
              <w:rPr>
                <w:rFonts w:ascii="Times New Roman" w:eastAsiaTheme="minorHAnsi" w:hAnsi="Times New Roman"/>
                <w:szCs w:val="28"/>
              </w:rPr>
              <w:t>ь</w:t>
            </w:r>
            <w:r w:rsidRPr="008E227A">
              <w:rPr>
                <w:rFonts w:ascii="Times New Roman" w:eastAsiaTheme="minorHAnsi" w:hAnsi="Times New Roman"/>
                <w:szCs w:val="28"/>
              </w:rPr>
              <w:t>ного управления, глаголы восприятия – 2 общие и 6 дифференциальных, глаголы внимания – 5 общих и 4 ди</w:t>
            </w:r>
            <w:r w:rsidRPr="008E227A">
              <w:rPr>
                <w:rFonts w:ascii="Times New Roman" w:eastAsiaTheme="minorHAnsi" w:hAnsi="Times New Roman"/>
                <w:szCs w:val="28"/>
              </w:rPr>
              <w:t>ф</w:t>
            </w:r>
            <w:r w:rsidRPr="008E227A">
              <w:rPr>
                <w:rFonts w:ascii="Times New Roman" w:eastAsiaTheme="minorHAnsi" w:hAnsi="Times New Roman"/>
                <w:szCs w:val="28"/>
              </w:rPr>
              <w:t>ференциальных, глаголы эмоционального состояния и эмоционального переживания – 6 общих и 15 диффере</w:t>
            </w:r>
            <w:r w:rsidRPr="008E227A">
              <w:rPr>
                <w:rFonts w:ascii="Times New Roman" w:eastAsiaTheme="minorHAnsi" w:hAnsi="Times New Roman"/>
                <w:szCs w:val="28"/>
              </w:rPr>
              <w:t>н</w:t>
            </w:r>
            <w:r w:rsidRPr="008E227A">
              <w:rPr>
                <w:rFonts w:ascii="Times New Roman" w:eastAsiaTheme="minorHAnsi" w:hAnsi="Times New Roman"/>
                <w:szCs w:val="28"/>
              </w:rPr>
              <w:t>циальных, глаголы эмоционального отношения – 4 общих и 5</w:t>
            </w:r>
            <w:proofErr w:type="gramEnd"/>
            <w:r w:rsidRPr="008E227A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gramStart"/>
            <w:r w:rsidRPr="008E227A">
              <w:rPr>
                <w:rFonts w:ascii="Times New Roman" w:eastAsiaTheme="minorHAnsi" w:hAnsi="Times New Roman"/>
                <w:szCs w:val="28"/>
              </w:rPr>
              <w:t>дифференциальных</w:t>
            </w:r>
            <w:proofErr w:type="gramEnd"/>
            <w:r w:rsidRPr="008E227A">
              <w:rPr>
                <w:rFonts w:ascii="Times New Roman" w:eastAsiaTheme="minorHAnsi" w:hAnsi="Times New Roman"/>
                <w:szCs w:val="28"/>
              </w:rPr>
              <w:t>, глаголы мы</w:t>
            </w:r>
            <w:r w:rsidRPr="008E227A">
              <w:rPr>
                <w:rFonts w:ascii="Times New Roman" w:eastAsiaTheme="minorHAnsi" w:hAnsi="Times New Roman"/>
                <w:szCs w:val="28"/>
              </w:rPr>
              <w:t>ш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ления – 6 общих </w:t>
            </w:r>
            <w:r w:rsidRPr="008E227A">
              <w:rPr>
                <w:rFonts w:ascii="Times New Roman" w:eastAsiaTheme="minorHAnsi" w:hAnsi="Times New Roman"/>
                <w:szCs w:val="28"/>
              </w:rPr>
              <w:lastRenderedPageBreak/>
              <w:t>и 6 дифференциальных, глаголы знания – 4 общих и 6 дифференциальных. Таким образом, большинство глаг</w:t>
            </w:r>
            <w:r w:rsidRPr="008E227A">
              <w:rPr>
                <w:rFonts w:ascii="Times New Roman" w:eastAsiaTheme="minorHAnsi" w:hAnsi="Times New Roman"/>
                <w:szCs w:val="28"/>
              </w:rPr>
              <w:t>о</w:t>
            </w:r>
            <w:r w:rsidRPr="008E227A">
              <w:rPr>
                <w:rFonts w:ascii="Times New Roman" w:eastAsiaTheme="minorHAnsi" w:hAnsi="Times New Roman"/>
                <w:szCs w:val="28"/>
              </w:rPr>
              <w:t>лов, принадлежащих к лексико-семантическому полю психической де</w:t>
            </w:r>
            <w:r w:rsidRPr="008E227A">
              <w:rPr>
                <w:rFonts w:ascii="Times New Roman" w:eastAsiaTheme="minorHAnsi" w:hAnsi="Times New Roman"/>
                <w:szCs w:val="28"/>
              </w:rPr>
              <w:t>я</w:t>
            </w:r>
            <w:r w:rsidRPr="008E227A">
              <w:rPr>
                <w:rFonts w:ascii="Times New Roman" w:eastAsiaTheme="minorHAnsi" w:hAnsi="Times New Roman"/>
                <w:szCs w:val="28"/>
              </w:rPr>
              <w:t>тельности человека образуют примерно одинаковое колич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ство сходных и различных моделей управления. Выделяются глаголы восприятия (например, приглядывать – </w:t>
            </w:r>
            <w:r w:rsidRPr="008E227A">
              <w:rPr>
                <w:rFonts w:ascii="Times New Roman" w:eastAsiaTheme="minorHAnsi" w:hAnsi="Times New Roman"/>
                <w:szCs w:val="28"/>
                <w:lang w:val="pl-PL"/>
              </w:rPr>
              <w:t>pilnowa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ć, слушать – </w:t>
            </w:r>
            <w:r w:rsidRPr="008E227A">
              <w:rPr>
                <w:rFonts w:ascii="Times New Roman" w:eastAsiaTheme="minorHAnsi" w:hAnsi="Times New Roman"/>
                <w:szCs w:val="28"/>
                <w:lang w:val="pl-PL"/>
              </w:rPr>
              <w:t>s</w:t>
            </w:r>
            <w:r w:rsidRPr="008E227A">
              <w:rPr>
                <w:rFonts w:ascii="Times New Roman" w:eastAsiaTheme="minorHAnsi" w:hAnsi="Times New Roman"/>
                <w:szCs w:val="28"/>
              </w:rPr>
              <w:t>ł</w:t>
            </w:r>
            <w:r w:rsidRPr="008E227A">
              <w:rPr>
                <w:rFonts w:ascii="Times New Roman" w:eastAsiaTheme="minorHAnsi" w:hAnsi="Times New Roman"/>
                <w:szCs w:val="28"/>
                <w:lang w:val="pl-PL"/>
              </w:rPr>
              <w:t>ucha</w:t>
            </w:r>
            <w:r w:rsidRPr="008E227A">
              <w:rPr>
                <w:rFonts w:ascii="Times New Roman" w:eastAsiaTheme="minorHAnsi" w:hAnsi="Times New Roman"/>
                <w:szCs w:val="28"/>
              </w:rPr>
              <w:t>ć), образующие лишь 2 модели общего управления и 6 моделей ди</w:t>
            </w:r>
            <w:r w:rsidRPr="008E227A">
              <w:rPr>
                <w:rFonts w:ascii="Times New Roman" w:eastAsiaTheme="minorHAnsi" w:hAnsi="Times New Roman"/>
                <w:szCs w:val="28"/>
              </w:rPr>
              <w:t>ф</w:t>
            </w:r>
            <w:r w:rsidRPr="008E227A">
              <w:rPr>
                <w:rFonts w:ascii="Times New Roman" w:eastAsiaTheme="minorHAnsi" w:hAnsi="Times New Roman"/>
                <w:szCs w:val="28"/>
              </w:rPr>
              <w:t>ференциального управления, и глаголы эмоционального состояния и эмоци</w:t>
            </w:r>
            <w:r w:rsidRPr="008E227A">
              <w:rPr>
                <w:rFonts w:ascii="Times New Roman" w:eastAsiaTheme="minorHAnsi" w:hAnsi="Times New Roman"/>
                <w:szCs w:val="28"/>
              </w:rPr>
              <w:t>о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нального переживания (например, грустить – </w:t>
            </w:r>
            <w:r w:rsidRPr="008E227A">
              <w:rPr>
                <w:rFonts w:ascii="Times New Roman" w:eastAsiaTheme="minorHAnsi" w:hAnsi="Times New Roman"/>
                <w:szCs w:val="28"/>
                <w:lang w:val="pl-PL"/>
              </w:rPr>
              <w:t>t</w:t>
            </w:r>
            <w:r w:rsidRPr="008E227A">
              <w:rPr>
                <w:rFonts w:ascii="Times New Roman" w:eastAsiaTheme="minorHAnsi" w:hAnsi="Times New Roman"/>
                <w:szCs w:val="28"/>
              </w:rPr>
              <w:t>ę</w:t>
            </w:r>
            <w:r w:rsidRPr="008E227A">
              <w:rPr>
                <w:rFonts w:ascii="Times New Roman" w:eastAsiaTheme="minorHAnsi" w:hAnsi="Times New Roman"/>
                <w:szCs w:val="28"/>
                <w:lang w:val="pl-PL"/>
              </w:rPr>
              <w:t>skni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ć, мучиться – </w:t>
            </w:r>
            <w:r w:rsidRPr="008E227A">
              <w:rPr>
                <w:rFonts w:ascii="Times New Roman" w:eastAsiaTheme="minorHAnsi" w:hAnsi="Times New Roman"/>
                <w:szCs w:val="28"/>
                <w:lang w:val="pl-PL"/>
              </w:rPr>
              <w:t>cierpie</w:t>
            </w:r>
            <w:r w:rsidRPr="008E227A">
              <w:rPr>
                <w:rFonts w:ascii="Times New Roman" w:eastAsiaTheme="minorHAnsi" w:hAnsi="Times New Roman"/>
                <w:szCs w:val="28"/>
              </w:rPr>
              <w:t>ć), у которых количество дифференциальных моделей превосходит колич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>ство общих в 2,5 раза и составляет 15.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Общей обязательной позицией при глаголах со значением психической деятельности в исследуемых славя</w:t>
            </w:r>
            <w:r w:rsidRPr="008E227A">
              <w:rPr>
                <w:rFonts w:ascii="Times New Roman" w:eastAsiaTheme="minorHAnsi" w:hAnsi="Times New Roman"/>
                <w:szCs w:val="28"/>
              </w:rPr>
              <w:t>н</w:t>
            </w:r>
            <w:r w:rsidRPr="008E227A">
              <w:rPr>
                <w:rFonts w:ascii="Times New Roman" w:eastAsiaTheme="minorHAnsi" w:hAnsi="Times New Roman"/>
                <w:szCs w:val="28"/>
              </w:rPr>
              <w:t>ских языках является позиция субъекта/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агенса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, выраженная преимущественно именной частью речи в имен</w:t>
            </w:r>
            <w:r w:rsidRPr="008E227A">
              <w:rPr>
                <w:rFonts w:ascii="Times New Roman" w:eastAsiaTheme="minorHAnsi" w:hAnsi="Times New Roman"/>
                <w:szCs w:val="28"/>
              </w:rPr>
              <w:t>и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тельном падеже и позиция прямого объекта, выраженная винительным падежом без предлога.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Аккуз</w:t>
            </w:r>
            <w:r w:rsidRPr="008E227A">
              <w:rPr>
                <w:rFonts w:ascii="Times New Roman" w:eastAsiaTheme="minorHAnsi" w:hAnsi="Times New Roman"/>
                <w:szCs w:val="28"/>
              </w:rPr>
              <w:t>а</w:t>
            </w:r>
            <w:r w:rsidRPr="008E227A">
              <w:rPr>
                <w:rFonts w:ascii="Times New Roman" w:eastAsiaTheme="minorHAnsi" w:hAnsi="Times New Roman"/>
                <w:szCs w:val="28"/>
              </w:rPr>
              <w:t>тивную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валентность открывают 81 предикат со значением психической деятельности в ру</w:t>
            </w:r>
            <w:r w:rsidRPr="008E227A">
              <w:rPr>
                <w:rFonts w:ascii="Times New Roman" w:eastAsiaTheme="minorHAnsi" w:hAnsi="Times New Roman"/>
                <w:szCs w:val="28"/>
              </w:rPr>
              <w:t>с</w:t>
            </w:r>
            <w:r w:rsidRPr="008E227A">
              <w:rPr>
                <w:rFonts w:ascii="Times New Roman" w:eastAsiaTheme="minorHAnsi" w:hAnsi="Times New Roman"/>
                <w:szCs w:val="28"/>
              </w:rPr>
              <w:t>ском языке и 101 в польском. Факультативно открывают места для объектных актантов со значением средства в творительном падеже 15 ру</w:t>
            </w:r>
            <w:r w:rsidRPr="008E227A">
              <w:rPr>
                <w:rFonts w:ascii="Times New Roman" w:eastAsiaTheme="minorHAnsi" w:hAnsi="Times New Roman"/>
                <w:szCs w:val="28"/>
              </w:rPr>
              <w:t>с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ских глаголов и 16 польских. 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>Д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ля называния адресата действия в русском языке при глаголах со значением психической деятельности (8 глаголов в русском языке – 6 в польском) используется предложно-падежная конструкция  </w:t>
            </w:r>
            <w:proofErr w:type="spellStart"/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к+dat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 xml:space="preserve">, 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в то время как в польском языке используется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генитивная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конструкция </w:t>
            </w:r>
            <w:proofErr w:type="spellStart"/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до+gen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. </w:t>
            </w:r>
            <w:proofErr w:type="gramStart"/>
            <w:r w:rsidRPr="008E227A">
              <w:rPr>
                <w:rFonts w:ascii="Times New Roman" w:eastAsiaTheme="minorHAnsi" w:hAnsi="Times New Roman"/>
                <w:szCs w:val="28"/>
              </w:rPr>
              <w:t>Лицо, с которым взаимодействует суб</w:t>
            </w:r>
            <w:r w:rsidRPr="008E227A">
              <w:rPr>
                <w:rFonts w:ascii="Times New Roman" w:eastAsiaTheme="minorHAnsi" w:hAnsi="Times New Roman"/>
                <w:szCs w:val="28"/>
              </w:rPr>
              <w:t>ъ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ект, при глаголах психической деятельности в исследуемых языках также имеет различное формальное выражение: в русском языке оно выражается предложно-падежной конструкцией </w:t>
            </w:r>
            <w:proofErr w:type="spellStart"/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у+gen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(13 глаголов), в свою очередь, в пол</w:t>
            </w:r>
            <w:r w:rsidRPr="008E227A">
              <w:rPr>
                <w:rFonts w:ascii="Times New Roman" w:eastAsiaTheme="minorHAnsi" w:hAnsi="Times New Roman"/>
                <w:szCs w:val="28"/>
              </w:rPr>
              <w:t>ь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ском языке распространена преимущественно беспредложная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дативная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конструкция (8 глагол</w:t>
            </w:r>
            <w:r w:rsidRPr="008E227A">
              <w:rPr>
                <w:rFonts w:ascii="Times New Roman" w:eastAsiaTheme="minorHAnsi" w:hAnsi="Times New Roman"/>
                <w:szCs w:val="28"/>
              </w:rPr>
              <w:t>ь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ных лексем), а глаголы </w:t>
            </w:r>
            <w:proofErr w:type="spellStart"/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boleć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и </w:t>
            </w:r>
            <w:proofErr w:type="spellStart"/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swędzieć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, также являющиеся глаголами ощущения, используются лишь в третьем лице и упра</w:t>
            </w:r>
            <w:r w:rsidRPr="008E227A">
              <w:rPr>
                <w:rFonts w:ascii="Times New Roman" w:eastAsiaTheme="minorHAnsi" w:hAnsi="Times New Roman"/>
                <w:szCs w:val="28"/>
              </w:rPr>
              <w:t>в</w:t>
            </w:r>
            <w:r w:rsidRPr="008E227A">
              <w:rPr>
                <w:rFonts w:ascii="Times New Roman" w:eastAsiaTheme="minorHAnsi" w:hAnsi="Times New Roman"/>
                <w:szCs w:val="28"/>
              </w:rPr>
              <w:t>ляют винительным</w:t>
            </w:r>
            <w:proofErr w:type="gramEnd"/>
            <w:r w:rsidRPr="008E227A">
              <w:rPr>
                <w:rFonts w:ascii="Times New Roman" w:eastAsiaTheme="minorHAnsi" w:hAnsi="Times New Roman"/>
                <w:szCs w:val="28"/>
              </w:rPr>
              <w:t xml:space="preserve"> падежом без предлога (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  <w:lang w:val="pl-PL"/>
              </w:rPr>
              <w:t>bole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 xml:space="preserve">ć,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  <w:lang w:val="pl-PL"/>
              </w:rPr>
              <w:t>sw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ę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  <w:lang w:val="pl-PL"/>
              </w:rPr>
              <w:t>dzie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ć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</w:t>
            </w:r>
            <w:r w:rsidRPr="008E227A">
              <w:rPr>
                <w:rFonts w:ascii="Times New Roman" w:eastAsiaTheme="minorHAnsi" w:hAnsi="Times New Roman"/>
                <w:i/>
                <w:szCs w:val="28"/>
                <w:lang w:val="pl-PL"/>
              </w:rPr>
              <w:t>kogo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). </w:t>
            </w:r>
          </w:p>
          <w:p w:rsidR="00963439" w:rsidRPr="008E227A" w:rsidRDefault="00963439" w:rsidP="00F92C05">
            <w:pPr>
              <w:spacing w:before="120"/>
              <w:ind w:firstLine="318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8E227A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Апробация результатов дипломной работы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 xml:space="preserve">Результаты работы </w:t>
            </w:r>
            <w:r w:rsidRPr="008E227A">
              <w:rPr>
                <w:rFonts w:ascii="Times New Roman" w:eastAsiaTheme="minorHAnsi" w:hAnsi="Times New Roman"/>
                <w:b/>
                <w:i/>
                <w:szCs w:val="28"/>
              </w:rPr>
              <w:t>апробировались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в виде 9 докладов на 9 конференциях: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 xml:space="preserve">1. </w:t>
            </w:r>
            <w:proofErr w:type="gramStart"/>
            <w:r w:rsidRPr="008E227A">
              <w:rPr>
                <w:rFonts w:ascii="Times New Roman" w:eastAsiaTheme="minorHAnsi" w:hAnsi="Times New Roman"/>
                <w:szCs w:val="28"/>
              </w:rPr>
              <w:t>I</w:t>
            </w:r>
            <w:proofErr w:type="gramEnd"/>
            <w:r w:rsidRPr="008E227A">
              <w:rPr>
                <w:rFonts w:ascii="Times New Roman" w:eastAsiaTheme="minorHAnsi" w:hAnsi="Times New Roman"/>
                <w:szCs w:val="28"/>
              </w:rPr>
              <w:t>Х М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>еждународная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научная конференция «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>Беларуска-руска-польскае супастаўляльнае мовазнаўства, літаратуразнаўства, культуралогія” (Витебск, 14–16 ноября 2013 года)”;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  <w:lang w:val="be-BY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 xml:space="preserve">2. </w:t>
            </w:r>
            <w:r w:rsidRPr="008E227A">
              <w:rPr>
                <w:rFonts w:ascii="Times New Roman" w:eastAsiaTheme="minorHAnsi" w:hAnsi="Times New Roman"/>
                <w:szCs w:val="28"/>
                <w:lang w:val="en-US"/>
              </w:rPr>
              <w:t>XV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 Республиканская научно-методическая конференция молодых ученых (Брест, 17 мая 2013 г.); 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>3. </w:t>
            </w:r>
            <w:r w:rsidRPr="008E227A">
              <w:rPr>
                <w:rFonts w:ascii="Times New Roman" w:eastAsiaTheme="minorHAnsi" w:hAnsi="Times New Roman"/>
                <w:szCs w:val="28"/>
              </w:rPr>
              <w:t>Республиканская научная конференция «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>Актуальныя праблемы мовазнаўства  і лінгвадыдактыкі</w:t>
            </w:r>
            <w:r w:rsidRPr="008E227A">
              <w:rPr>
                <w:rFonts w:ascii="Times New Roman" w:eastAsiaTheme="minorHAnsi" w:hAnsi="Times New Roman"/>
                <w:szCs w:val="28"/>
              </w:rPr>
              <w:t>»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>, прысвечаная 75-годдзю з дня нараджэння прафесара Галіны Мікалаеўны Малажай (Брест, 25 марта 2013 г.);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4. Международная научно-практическая студенческая конференция «Классика и современность в изящной словесности Х</w:t>
            </w:r>
            <w:proofErr w:type="gramStart"/>
            <w:r w:rsidRPr="008E227A">
              <w:rPr>
                <w:rFonts w:ascii="Times New Roman" w:eastAsiaTheme="minorHAnsi" w:hAnsi="Times New Roman"/>
                <w:szCs w:val="28"/>
              </w:rPr>
              <w:t>I</w:t>
            </w:r>
            <w:proofErr w:type="gramEnd"/>
            <w:r w:rsidRPr="008E227A">
              <w:rPr>
                <w:rFonts w:ascii="Times New Roman" w:eastAsiaTheme="minorHAnsi" w:hAnsi="Times New Roman"/>
                <w:szCs w:val="28"/>
              </w:rPr>
              <w:t>Х–ХХI столетий» (Брест, 14-15 февраля 2013 г.);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5. 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 xml:space="preserve">Міжнародная навукова-практычная канферэнцыя маладых філолагаў </w:t>
            </w:r>
            <w:r w:rsidRPr="008E227A">
              <w:rPr>
                <w:rFonts w:ascii="Times New Roman" w:eastAsiaTheme="minorHAnsi" w:hAnsi="Times New Roman"/>
                <w:szCs w:val="28"/>
              </w:rPr>
              <w:t>«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>Слова ў мове, маўленні, тэксце – 2013</w:t>
            </w:r>
            <w:r w:rsidRPr="008E227A">
              <w:rPr>
                <w:rFonts w:ascii="Times New Roman" w:eastAsiaTheme="minorHAnsi" w:hAnsi="Times New Roman"/>
                <w:szCs w:val="28"/>
              </w:rPr>
              <w:t>» (Брест, 15 апреля 2013 г.);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6. </w:t>
            </w:r>
            <w:proofErr w:type="gramStart"/>
            <w:r w:rsidRPr="008E227A">
              <w:rPr>
                <w:rFonts w:ascii="Times New Roman" w:eastAsia="Calibri" w:hAnsi="Times New Roman"/>
                <w:szCs w:val="28"/>
              </w:rPr>
              <w:t>Х</w:t>
            </w:r>
            <w:proofErr w:type="gramEnd"/>
            <w:r w:rsidRPr="008E227A">
              <w:rPr>
                <w:rFonts w:ascii="Times New Roman" w:eastAsia="Calibri" w:hAnsi="Times New Roman"/>
                <w:szCs w:val="28"/>
                <w:lang w:val="en-US"/>
              </w:rPr>
              <w:t>III</w:t>
            </w:r>
            <w:r w:rsidRPr="008E227A">
              <w:rPr>
                <w:rFonts w:ascii="Times New Roman" w:eastAsia="Calibri" w:hAnsi="Times New Roman"/>
                <w:szCs w:val="28"/>
              </w:rPr>
              <w:t xml:space="preserve"> Республиканская научно-методическая конференция молодых ученых  (Брест, 13 мая 2011 г.);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lastRenderedPageBreak/>
              <w:t>7. </w:t>
            </w:r>
            <w:proofErr w:type="gramStart"/>
            <w:r w:rsidRPr="008E227A">
              <w:rPr>
                <w:rFonts w:ascii="Times New Roman" w:eastAsia="Calibri" w:hAnsi="Times New Roman"/>
                <w:szCs w:val="28"/>
              </w:rPr>
              <w:t>Х</w:t>
            </w:r>
            <w:proofErr w:type="gramEnd"/>
            <w:r w:rsidRPr="008E227A">
              <w:rPr>
                <w:rFonts w:ascii="Times New Roman" w:eastAsia="Calibri" w:hAnsi="Times New Roman"/>
                <w:szCs w:val="28"/>
                <w:lang w:val="en-US"/>
              </w:rPr>
              <w:t>II</w:t>
            </w:r>
            <w:r w:rsidRPr="008E227A">
              <w:rPr>
                <w:rFonts w:ascii="Times New Roman" w:eastAsia="Calibri" w:hAnsi="Times New Roman"/>
                <w:szCs w:val="28"/>
              </w:rPr>
              <w:t xml:space="preserve"> Республиканская научно-методическая конференция молодых ученых (Брест, 14 мая 2010 г.);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8. </w:t>
            </w:r>
            <w:r w:rsidRPr="008E227A">
              <w:rPr>
                <w:rFonts w:ascii="Times New Roman" w:eastAsia="Calibri" w:hAnsi="Times New Roman"/>
                <w:szCs w:val="28"/>
              </w:rPr>
              <w:t>Международная научно-практическая конференция «Актуальные проблемы компаративистики» (Брест, 2010 г.);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  <w:lang w:val="be-BY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9. </w:t>
            </w:r>
            <w:r w:rsidRPr="008E227A">
              <w:rPr>
                <w:rFonts w:ascii="Times New Roman" w:eastAsia="Calibri" w:hAnsi="Times New Roman"/>
                <w:szCs w:val="28"/>
              </w:rPr>
              <w:t>Международная научно-методическая конференция «</w:t>
            </w:r>
            <w:r w:rsidRPr="008E227A">
              <w:rPr>
                <w:rFonts w:ascii="Times New Roman" w:eastAsia="Calibri" w:hAnsi="Times New Roman"/>
                <w:szCs w:val="28"/>
                <w:lang w:val="be-BY"/>
              </w:rPr>
              <w:t>Славянские языки: системно-описательный и социокультурный аспекты исследования</w:t>
            </w:r>
            <w:r w:rsidRPr="008E227A">
              <w:rPr>
                <w:rFonts w:ascii="Times New Roman" w:eastAsia="Calibri" w:hAnsi="Times New Roman"/>
                <w:szCs w:val="28"/>
              </w:rPr>
              <w:t>»</w:t>
            </w:r>
            <w:r w:rsidRPr="008E227A">
              <w:rPr>
                <w:rFonts w:ascii="Times New Roman" w:eastAsia="Calibri" w:hAnsi="Times New Roman"/>
                <w:szCs w:val="28"/>
                <w:lang w:val="be-BY"/>
              </w:rPr>
              <w:t xml:space="preserve"> (Брест, 25-26 ноября 2009 г.).</w:t>
            </w:r>
          </w:p>
          <w:p w:rsidR="00963439" w:rsidRPr="008E227A" w:rsidRDefault="00963439" w:rsidP="00F92C05">
            <w:pPr>
              <w:spacing w:before="120"/>
              <w:ind w:firstLine="318"/>
              <w:jc w:val="both"/>
              <w:rPr>
                <w:rFonts w:ascii="Times New Roman" w:eastAsia="Times New Roman" w:hAnsi="Times New Roman"/>
                <w:i/>
                <w:spacing w:val="-20"/>
                <w:szCs w:val="28"/>
                <w:lang w:eastAsia="ru-RU"/>
              </w:rPr>
            </w:pPr>
            <w:proofErr w:type="spellStart"/>
            <w:r w:rsidRPr="008E227A">
              <w:rPr>
                <w:rFonts w:ascii="Times New Roman" w:eastAsia="Times New Roman" w:hAnsi="Times New Roman"/>
                <w:i/>
                <w:color w:val="000000"/>
                <w:szCs w:val="28"/>
                <w:lang w:eastAsia="ru-RU"/>
              </w:rPr>
              <w:t>Опубликованность</w:t>
            </w:r>
            <w:proofErr w:type="spellEnd"/>
            <w:r w:rsidRPr="008E227A">
              <w:rPr>
                <w:rFonts w:ascii="Times New Roman" w:eastAsia="Times New Roman" w:hAnsi="Times New Roman"/>
                <w:i/>
                <w:color w:val="000000"/>
                <w:szCs w:val="28"/>
                <w:lang w:eastAsia="ru-RU"/>
              </w:rPr>
              <w:t xml:space="preserve"> результатов исследования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color w:val="000000"/>
                <w:szCs w:val="28"/>
              </w:rPr>
            </w:pP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>По теме диссертации опубликовано 9 работ (в том числе 1 статья в соавторстве с научным руководит</w:t>
            </w: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color w:val="000000"/>
                <w:szCs w:val="28"/>
              </w:rPr>
              <w:t>лем), 1 статья находится в печати: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="Calibr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1. </w:t>
            </w:r>
            <w:r w:rsidRPr="008E227A">
              <w:rPr>
                <w:rFonts w:ascii="Times New Roman" w:eastAsia="Calibri" w:hAnsi="Times New Roman"/>
                <w:szCs w:val="28"/>
              </w:rPr>
              <w:t>Архипова, Е.Е. (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, Е.Е.)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Wpływ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wzorów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innosystemowych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na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walencję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wyrazów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polskich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(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kalki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syntaktyczne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>) / Е.Е. Архипова // Актуальные проблемы компаративистики: сб. материалов / Брест. гос. ун-т им. А.С. Пушкина; под общ. ред. Е.Г. 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Кивака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>; ред. колл</w:t>
            </w:r>
            <w:proofErr w:type="gramStart"/>
            <w:r w:rsidRPr="008E227A">
              <w:rPr>
                <w:rFonts w:ascii="Times New Roman" w:eastAsia="Calibri" w:hAnsi="Times New Roman"/>
                <w:szCs w:val="28"/>
              </w:rPr>
              <w:t xml:space="preserve">.: </w:t>
            </w:r>
            <w:proofErr w:type="gramEnd"/>
            <w:r w:rsidRPr="008E227A">
              <w:rPr>
                <w:rFonts w:ascii="Times New Roman" w:eastAsia="Calibri" w:hAnsi="Times New Roman"/>
                <w:szCs w:val="28"/>
              </w:rPr>
              <w:t>С.А. Королевич, С.Ф. Бут-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Гусаим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, Т.Ф. Кабот. – Брест: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БрГУ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имени А.С. Пушкина, 2010. – С. 16–19</w:t>
            </w:r>
            <w:r w:rsidRPr="008E227A">
              <w:rPr>
                <w:rFonts w:ascii="Times New Roman" w:eastAsiaTheme="minorHAnsi" w:hAnsi="Times New Roman"/>
                <w:szCs w:val="28"/>
              </w:rPr>
              <w:t>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="Calibri" w:hAnsi="Times New Roman"/>
                <w:spacing w:val="-4"/>
                <w:szCs w:val="28"/>
              </w:rPr>
            </w:pPr>
            <w:r w:rsidRPr="008E227A">
              <w:rPr>
                <w:rFonts w:ascii="Times New Roman" w:eastAsia="Calibri" w:hAnsi="Times New Roman"/>
                <w:szCs w:val="28"/>
              </w:rPr>
              <w:t>2. Архипова, Е.Е. (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, Е.Е.)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Рodstawowe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różnice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w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zakresie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łączliwości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składniowej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czasowników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polskich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i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rosyjskich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(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rekcja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bezprzyimkowa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>)</w:t>
            </w:r>
            <w:r w:rsidRPr="008E227A">
              <w:rPr>
                <w:rFonts w:ascii="Times New Roman" w:eastAsia="Calibri" w:hAnsi="Times New Roman"/>
                <w:szCs w:val="28"/>
                <w:lang w:val="be-BY"/>
              </w:rPr>
              <w:t xml:space="preserve"> / Е.Е. Архипова // Славянские языки: системно-описательный и социокультурный аспекты исследования : материалы </w:t>
            </w:r>
            <w:r w:rsidRPr="008E227A">
              <w:rPr>
                <w:rFonts w:ascii="Times New Roman" w:eastAsia="Calibri" w:hAnsi="Times New Roman"/>
                <w:szCs w:val="28"/>
                <w:lang w:val="en-US"/>
              </w:rPr>
              <w:t>IV</w:t>
            </w:r>
            <w:r w:rsidRPr="008E227A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Международ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>. науч</w:t>
            </w:r>
            <w:proofErr w:type="gramStart"/>
            <w:r w:rsidRPr="008E227A">
              <w:rPr>
                <w:rFonts w:ascii="Times New Roman" w:eastAsia="Calibri" w:hAnsi="Times New Roman"/>
                <w:szCs w:val="28"/>
              </w:rPr>
              <w:t>.-</w:t>
            </w:r>
            <w:proofErr w:type="gramEnd"/>
            <w:r w:rsidRPr="008E227A">
              <w:rPr>
                <w:rFonts w:ascii="Times New Roman" w:eastAsia="Calibri" w:hAnsi="Times New Roman"/>
                <w:szCs w:val="28"/>
              </w:rPr>
              <w:t xml:space="preserve">метод.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конф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>., Брест, 25</w:t>
            </w:r>
            <w:r w:rsidRPr="008E227A">
              <w:rPr>
                <w:rFonts w:ascii="Times New Roman" w:eastAsia="Calibri" w:hAnsi="Times New Roman"/>
                <w:szCs w:val="28"/>
                <w:lang w:val="be-BY"/>
              </w:rPr>
              <w:t xml:space="preserve">–26 </w:t>
            </w:r>
            <w:r w:rsidRPr="008E227A">
              <w:rPr>
                <w:rFonts w:ascii="Times New Roman" w:eastAsia="Calibri" w:hAnsi="Times New Roman"/>
                <w:spacing w:val="-4"/>
                <w:szCs w:val="28"/>
                <w:lang w:val="be-BY"/>
              </w:rPr>
              <w:t xml:space="preserve">ноября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8E227A">
                <w:rPr>
                  <w:rFonts w:ascii="Times New Roman" w:eastAsia="Calibri" w:hAnsi="Times New Roman"/>
                  <w:spacing w:val="-4"/>
                  <w:szCs w:val="28"/>
                  <w:lang w:val="be-BY"/>
                </w:rPr>
                <w:t>2009 г</w:t>
              </w:r>
            </w:smartTag>
            <w:r w:rsidRPr="008E227A">
              <w:rPr>
                <w:rFonts w:ascii="Times New Roman" w:eastAsia="Calibri" w:hAnsi="Times New Roman"/>
                <w:spacing w:val="-4"/>
                <w:szCs w:val="28"/>
                <w:lang w:val="be-BY"/>
              </w:rPr>
              <w:t xml:space="preserve">. : в 2 ч. / М-во образования Респ. Беларусь, Брест. гос. ун-т имени А.С. Пушкина ; редкол.: С.А. Королевич </w:t>
            </w:r>
            <w:r w:rsidRPr="008E227A">
              <w:rPr>
                <w:rFonts w:ascii="Times New Roman" w:eastAsia="Calibri" w:hAnsi="Times New Roman"/>
                <w:spacing w:val="-4"/>
                <w:szCs w:val="28"/>
              </w:rPr>
              <w:t xml:space="preserve">[и др.]; под </w:t>
            </w:r>
            <w:proofErr w:type="spellStart"/>
            <w:r w:rsidRPr="008E227A">
              <w:rPr>
                <w:rFonts w:ascii="Times New Roman" w:eastAsia="Calibri" w:hAnsi="Times New Roman"/>
                <w:spacing w:val="-4"/>
                <w:szCs w:val="28"/>
              </w:rPr>
              <w:t>общ</w:t>
            </w:r>
            <w:proofErr w:type="gramStart"/>
            <w:r w:rsidRPr="008E227A">
              <w:rPr>
                <w:rFonts w:ascii="Times New Roman" w:eastAsia="Calibri" w:hAnsi="Times New Roman"/>
                <w:spacing w:val="-4"/>
                <w:szCs w:val="28"/>
              </w:rPr>
              <w:t>.р</w:t>
            </w:r>
            <w:proofErr w:type="gramEnd"/>
            <w:r w:rsidRPr="008E227A">
              <w:rPr>
                <w:rFonts w:ascii="Times New Roman" w:eastAsia="Calibri" w:hAnsi="Times New Roman"/>
                <w:spacing w:val="-4"/>
                <w:szCs w:val="28"/>
              </w:rPr>
              <w:t>ед</w:t>
            </w:r>
            <w:proofErr w:type="spellEnd"/>
            <w:r w:rsidRPr="008E227A">
              <w:rPr>
                <w:rFonts w:ascii="Times New Roman" w:eastAsia="Calibri" w:hAnsi="Times New Roman"/>
                <w:spacing w:val="-4"/>
                <w:szCs w:val="28"/>
              </w:rPr>
              <w:t xml:space="preserve">. О.Б. Переход. – Брест: </w:t>
            </w:r>
            <w:proofErr w:type="spellStart"/>
            <w:r w:rsidRPr="008E227A">
              <w:rPr>
                <w:rFonts w:ascii="Times New Roman" w:eastAsia="Calibri" w:hAnsi="Times New Roman"/>
                <w:spacing w:val="-4"/>
                <w:szCs w:val="28"/>
              </w:rPr>
              <w:t>БрГУ</w:t>
            </w:r>
            <w:proofErr w:type="spellEnd"/>
            <w:r w:rsidRPr="008E227A">
              <w:rPr>
                <w:rFonts w:ascii="Times New Roman" w:eastAsia="Calibri" w:hAnsi="Times New Roman"/>
                <w:spacing w:val="-4"/>
                <w:szCs w:val="28"/>
              </w:rPr>
              <w:t>, 2010. – С. 41–45.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="Calibri" w:hAnsi="Times New Roman"/>
                <w:szCs w:val="28"/>
              </w:rPr>
            </w:pPr>
            <w:r w:rsidRPr="008E227A">
              <w:rPr>
                <w:rFonts w:ascii="Times New Roman" w:eastAsia="Calibri" w:hAnsi="Times New Roman"/>
                <w:szCs w:val="28"/>
              </w:rPr>
              <w:t>3. Архипова, Е.Е. (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, Е.Е.)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Контрастивный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анализ валентности глаголов движения в русском и пол</w:t>
            </w:r>
            <w:r w:rsidRPr="008E227A">
              <w:rPr>
                <w:rFonts w:ascii="Times New Roman" w:eastAsia="Calibri" w:hAnsi="Times New Roman"/>
                <w:szCs w:val="28"/>
              </w:rPr>
              <w:t>ь</w:t>
            </w:r>
            <w:r w:rsidRPr="008E227A">
              <w:rPr>
                <w:rFonts w:ascii="Times New Roman" w:eastAsia="Calibri" w:hAnsi="Times New Roman"/>
                <w:szCs w:val="28"/>
              </w:rPr>
              <w:t>ском языках / Е.Е. Архипова // Х</w:t>
            </w:r>
            <w:r w:rsidRPr="008E227A">
              <w:rPr>
                <w:rFonts w:ascii="Times New Roman" w:eastAsia="Calibri" w:hAnsi="Times New Roman"/>
                <w:szCs w:val="28"/>
                <w:lang w:val="en-US"/>
              </w:rPr>
              <w:t>II</w:t>
            </w:r>
            <w:r w:rsidRPr="008E227A">
              <w:rPr>
                <w:rFonts w:ascii="Times New Roman" w:eastAsia="Calibri" w:hAnsi="Times New Roman"/>
                <w:szCs w:val="28"/>
              </w:rPr>
              <w:t xml:space="preserve"> Республиканская научно-методическая конференция молодых уч</w:t>
            </w:r>
            <w:r w:rsidRPr="008E227A">
              <w:rPr>
                <w:rFonts w:ascii="Times New Roman" w:eastAsia="Calibri" w:hAnsi="Times New Roman"/>
                <w:szCs w:val="28"/>
              </w:rPr>
              <w:t>е</w:t>
            </w:r>
            <w:r w:rsidRPr="008E227A">
              <w:rPr>
                <w:rFonts w:ascii="Times New Roman" w:eastAsia="Calibri" w:hAnsi="Times New Roman"/>
                <w:szCs w:val="28"/>
              </w:rPr>
              <w:t xml:space="preserve">ных: в 2-х ч.: сб. материалов, Брест,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БрГУ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, 14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E227A">
                <w:rPr>
                  <w:rFonts w:ascii="Times New Roman" w:eastAsia="Calibri" w:hAnsi="Times New Roman"/>
                  <w:szCs w:val="28"/>
                </w:rPr>
                <w:t>2010 г</w:t>
              </w:r>
            </w:smartTag>
            <w:r w:rsidRPr="008E227A">
              <w:rPr>
                <w:rFonts w:ascii="Times New Roman" w:eastAsia="Calibri" w:hAnsi="Times New Roman"/>
                <w:szCs w:val="28"/>
              </w:rPr>
              <w:t xml:space="preserve">. / М-во образования РБ,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БрГУ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имени А.С. Пушкина; под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общ.ред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. С.А. Марзана. – Брест: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БрГУ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>, 2010. – Ч. 1. – С. 78-81.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="Calibr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 xml:space="preserve">4.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, Е.Е. Основные отличия беспредложного глагольного управления в русском и польском яз</w:t>
            </w:r>
            <w:r w:rsidRPr="008E227A">
              <w:rPr>
                <w:rFonts w:ascii="Times New Roman" w:eastAsiaTheme="minorHAnsi" w:hAnsi="Times New Roman"/>
                <w:szCs w:val="28"/>
              </w:rPr>
              <w:t>ы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ках / Е.Е.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</w:t>
            </w:r>
            <w:r w:rsidRPr="008E227A">
              <w:rPr>
                <w:rFonts w:ascii="Times New Roman" w:eastAsia="Calibri" w:hAnsi="Times New Roman"/>
                <w:szCs w:val="28"/>
              </w:rPr>
              <w:t>// Х</w:t>
            </w:r>
            <w:r w:rsidRPr="008E227A">
              <w:rPr>
                <w:rFonts w:ascii="Times New Roman" w:eastAsia="Calibri" w:hAnsi="Times New Roman"/>
                <w:szCs w:val="28"/>
                <w:lang w:val="en-US"/>
              </w:rPr>
              <w:t>III</w:t>
            </w:r>
            <w:r w:rsidRPr="008E227A">
              <w:rPr>
                <w:rFonts w:ascii="Times New Roman" w:eastAsia="Calibri" w:hAnsi="Times New Roman"/>
                <w:szCs w:val="28"/>
              </w:rPr>
              <w:t xml:space="preserve"> Республиканская научно-методическая конференция молодых ученых : в 2 ч. : сб. матери</w:t>
            </w:r>
            <w:r w:rsidRPr="008E227A">
              <w:rPr>
                <w:rFonts w:ascii="Times New Roman" w:eastAsia="Calibri" w:hAnsi="Times New Roman"/>
                <w:szCs w:val="28"/>
              </w:rPr>
              <w:t>а</w:t>
            </w:r>
            <w:r w:rsidRPr="008E227A">
              <w:rPr>
                <w:rFonts w:ascii="Times New Roman" w:eastAsia="Calibri" w:hAnsi="Times New Roman"/>
                <w:szCs w:val="28"/>
              </w:rPr>
              <w:t xml:space="preserve">лов, Брест,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БрГУ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, 13 мая 2011 г. / М-во образования РБ,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Бр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ГУ имени А.С. Пушкина; под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общ.ред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. к.и.н. В.В.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Здановича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. – Брест : 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БрГУ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>, 2011. – Ч. 2. – С. 106–109.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="Calibri" w:hAnsi="Times New Roman"/>
                <w:szCs w:val="28"/>
              </w:rPr>
            </w:pPr>
            <w:r w:rsidRPr="008E227A">
              <w:rPr>
                <w:rFonts w:ascii="Times New Roman" w:eastAsia="Calibri" w:hAnsi="Times New Roman"/>
                <w:szCs w:val="28"/>
              </w:rPr>
              <w:t>5. </w:t>
            </w:r>
            <w:proofErr w:type="spellStart"/>
            <w:r w:rsidRPr="008E227A">
              <w:rPr>
                <w:rFonts w:ascii="Times New Roman" w:eastAsia="Calibr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="Calibri" w:hAnsi="Times New Roman"/>
                <w:szCs w:val="28"/>
              </w:rPr>
              <w:t xml:space="preserve"> Е.Е. 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 xml:space="preserve">Влияние иноязычных моделей управления на валентность польских глаголов//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Актуальныя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праблемы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мовазнаўства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и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лінгвадыдактыки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: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зб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. мат.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нав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канф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(да 75-годдзя нар.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праф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. Г.М 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Малажай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) /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Мін-ва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адукацыі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Рэсп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. Беларусь,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БрДУ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имя А.С. Пушкина, каф. бел.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мовазнаўства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 ;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рэдкал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М.І.Новік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[і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інш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.]. –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Брэст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 : Альтернатива, 2013. – С. 244-247.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6. 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, Е.Е.</w:t>
            </w:r>
            <w:r w:rsidRPr="008E227A">
              <w:rPr>
                <w:rFonts w:ascii="Times New Roman" w:eastAsiaTheme="minorHAnsi" w:hAnsi="Times New Roman"/>
                <w:b/>
                <w:szCs w:val="28"/>
              </w:rPr>
              <w:t xml:space="preserve"> 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Общие и дифференциальные синтаксические модели глаголов восприятия в русском и польском языках // </w:t>
            </w:r>
            <w:r w:rsidRPr="008E227A">
              <w:rPr>
                <w:rFonts w:ascii="Times New Roman" w:eastAsiaTheme="minorHAnsi" w:hAnsi="Times New Roman"/>
                <w:spacing w:val="-7"/>
                <w:szCs w:val="28"/>
                <w:lang w:val="be-BY"/>
              </w:rPr>
              <w:t xml:space="preserve">XV Республиканская научно-методическая конференция молодых ученых : сб. материалов: в 2 ч., Брест,17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E227A">
                <w:rPr>
                  <w:rFonts w:ascii="Times New Roman" w:eastAsiaTheme="minorHAnsi" w:hAnsi="Times New Roman"/>
                  <w:spacing w:val="-7"/>
                  <w:szCs w:val="28"/>
                  <w:lang w:val="be-BY"/>
                </w:rPr>
                <w:t>2013 г</w:t>
              </w:r>
            </w:smartTag>
            <w:r w:rsidRPr="008E227A">
              <w:rPr>
                <w:rFonts w:ascii="Times New Roman" w:eastAsiaTheme="minorHAnsi" w:hAnsi="Times New Roman"/>
                <w:spacing w:val="-7"/>
                <w:szCs w:val="28"/>
                <w:lang w:val="be-BY"/>
              </w:rPr>
              <w:t>./ под. общ. ред.В.В. Здановича. – Брест : БрГУ, 2013.– Ч.2.– С. 107-109.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 xml:space="preserve">7.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 xml:space="preserve"> Е.Е.</w:t>
            </w:r>
            <w:r w:rsidRPr="008E227A">
              <w:rPr>
                <w:rFonts w:ascii="Times New Roman" w:eastAsiaTheme="minorHAnsi" w:hAnsi="Times New Roman"/>
                <w:b/>
                <w:szCs w:val="28"/>
              </w:rPr>
              <w:t xml:space="preserve"> </w:t>
            </w:r>
            <w:r w:rsidRPr="008E227A">
              <w:rPr>
                <w:rFonts w:ascii="Times New Roman" w:eastAsiaTheme="minorHAnsi" w:hAnsi="Times New Roman"/>
                <w:szCs w:val="28"/>
              </w:rPr>
              <w:t>Общие и дифференциальные модели глаголов внимания в русском и польском языках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 xml:space="preserve"> 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// 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lastRenderedPageBreak/>
              <w:t>Слова ў мове, маўленні, тэксце : зб. навуковых прац маладых вучоных-філолагаў / пад агул. рэд. Н.Р. Якубук. – Брэст: БрГУ, 2013</w:t>
            </w:r>
            <w:r w:rsidRPr="008E227A">
              <w:rPr>
                <w:rFonts w:ascii="Times New Roman" w:eastAsiaTheme="minorHAnsi" w:hAnsi="Times New Roman"/>
                <w:spacing w:val="-6"/>
                <w:szCs w:val="28"/>
                <w:lang w:val="be-BY"/>
              </w:rPr>
              <w:t xml:space="preserve">. – С. 19 – 21. 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pacing w:val="-7"/>
                <w:szCs w:val="28"/>
                <w:lang w:val="be-BY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8. 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, Е.Е.</w:t>
            </w:r>
            <w:r w:rsidRPr="008E227A">
              <w:rPr>
                <w:rFonts w:ascii="Times New Roman" w:eastAsiaTheme="minorHAnsi" w:hAnsi="Times New Roman"/>
                <w:b/>
                <w:szCs w:val="28"/>
              </w:rPr>
              <w:t xml:space="preserve"> 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Общие и дифференциальные синтаксические модели глаголов восприятия в русском и польском языках // </w:t>
            </w:r>
            <w:r w:rsidRPr="008E227A">
              <w:rPr>
                <w:rFonts w:ascii="Times New Roman" w:eastAsiaTheme="minorHAnsi" w:hAnsi="Times New Roman"/>
                <w:spacing w:val="-7"/>
                <w:szCs w:val="28"/>
                <w:lang w:val="be-BY"/>
              </w:rPr>
              <w:t xml:space="preserve">XV Республиканская научно-методическая конференция молодых ученых: сб. материалов: в 2 ч., Брест,17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E227A">
                <w:rPr>
                  <w:rFonts w:ascii="Times New Roman" w:eastAsiaTheme="minorHAnsi" w:hAnsi="Times New Roman"/>
                  <w:spacing w:val="-7"/>
                  <w:szCs w:val="28"/>
                  <w:lang w:val="be-BY"/>
                </w:rPr>
                <w:t>2013 г</w:t>
              </w:r>
            </w:smartTag>
            <w:r w:rsidRPr="008E227A">
              <w:rPr>
                <w:rFonts w:ascii="Times New Roman" w:eastAsiaTheme="minorHAnsi" w:hAnsi="Times New Roman"/>
                <w:spacing w:val="-7"/>
                <w:szCs w:val="28"/>
                <w:lang w:val="be-BY"/>
              </w:rPr>
              <w:t>./ под. общ. ред.В.В. Здановича. – Брест : БрГУ, 2013.– Ч.2.– С. 107-109.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  <w:lang w:val="be-BY"/>
              </w:rPr>
            </w:pPr>
            <w:r w:rsidRPr="008E227A">
              <w:rPr>
                <w:rFonts w:ascii="Times New Roman" w:eastAsiaTheme="minorHAnsi" w:hAnsi="Times New Roman"/>
                <w:spacing w:val="-7"/>
                <w:szCs w:val="28"/>
                <w:lang w:val="be-BY"/>
              </w:rPr>
              <w:t xml:space="preserve">9.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, Е.Е.</w:t>
            </w:r>
            <w:r w:rsidRPr="008E227A">
              <w:rPr>
                <w:rFonts w:ascii="Times New Roman" w:eastAsiaTheme="minorHAnsi" w:hAnsi="Times New Roman"/>
                <w:b/>
                <w:szCs w:val="28"/>
              </w:rPr>
              <w:t xml:space="preserve"> </w:t>
            </w:r>
            <w:r w:rsidRPr="008E227A">
              <w:rPr>
                <w:rFonts w:ascii="Times New Roman" w:eastAsiaTheme="minorHAnsi" w:hAnsi="Times New Roman"/>
                <w:szCs w:val="28"/>
              </w:rPr>
              <w:t>Особенности управления</w:t>
            </w:r>
            <w:r w:rsidRPr="008E227A">
              <w:rPr>
                <w:rFonts w:ascii="Times New Roman" w:eastAsiaTheme="minorHAnsi" w:hAnsi="Times New Roman"/>
                <w:szCs w:val="28"/>
              </w:rPr>
              <w:softHyphen/>
              <w:t xml:space="preserve"> глаголов психическо</w:t>
            </w:r>
            <w:r w:rsidRPr="008E227A">
              <w:rPr>
                <w:rFonts w:ascii="Times New Roman" w:eastAsiaTheme="minorHAnsi" w:hAnsi="Times New Roman"/>
                <w:szCs w:val="28"/>
              </w:rPr>
              <w:softHyphen/>
              <w:t>й деятельнос</w:t>
            </w:r>
            <w:r w:rsidRPr="008E227A">
              <w:rPr>
                <w:rFonts w:ascii="Times New Roman" w:eastAsiaTheme="minorHAnsi" w:hAnsi="Times New Roman"/>
                <w:szCs w:val="28"/>
              </w:rPr>
              <w:softHyphen/>
              <w:t>ти в славянских</w:t>
            </w:r>
            <w:r w:rsidRPr="008E227A">
              <w:rPr>
                <w:rFonts w:ascii="Times New Roman" w:eastAsiaTheme="minorHAnsi" w:hAnsi="Times New Roman"/>
                <w:szCs w:val="28"/>
              </w:rPr>
              <w:softHyphen/>
              <w:t xml:space="preserve"> языках (на мат</w:t>
            </w:r>
            <w:r w:rsidRPr="008E227A">
              <w:rPr>
                <w:rFonts w:ascii="Times New Roman" w:eastAsiaTheme="minorHAnsi" w:hAnsi="Times New Roman"/>
                <w:szCs w:val="28"/>
              </w:rPr>
              <w:t>е</w:t>
            </w:r>
            <w:r w:rsidRPr="008E227A">
              <w:rPr>
                <w:rFonts w:ascii="Times New Roman" w:eastAsiaTheme="minorHAnsi" w:hAnsi="Times New Roman"/>
                <w:szCs w:val="28"/>
              </w:rPr>
              <w:t xml:space="preserve">риале русского и польского языков) / О.Б. Переход, </w:t>
            </w:r>
            <w:proofErr w:type="spellStart"/>
            <w:r w:rsidRPr="008E227A">
              <w:rPr>
                <w:rFonts w:ascii="Times New Roman" w:eastAsiaTheme="minorHAnsi" w:hAnsi="Times New Roman"/>
                <w:szCs w:val="28"/>
              </w:rPr>
              <w:t>Вертейко</w:t>
            </w:r>
            <w:proofErr w:type="spellEnd"/>
            <w:r w:rsidRPr="008E227A">
              <w:rPr>
                <w:rFonts w:ascii="Times New Roman" w:eastAsiaTheme="minorHAnsi" w:hAnsi="Times New Roman"/>
                <w:szCs w:val="28"/>
              </w:rPr>
              <w:t>, Е.Е. // 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>Беларуска-руска-польскае супастаўляльнае мовазнаўства, літаратуразнаўства, культуралогія : Зб. навук. артыкулаў ; пад навук. рэд. Г.М.</w:t>
            </w:r>
            <w:r w:rsidRPr="008E227A">
              <w:rPr>
                <w:rFonts w:ascii="Times New Roman" w:eastAsiaTheme="minorHAnsi" w:hAnsi="Times New Roman"/>
                <w:szCs w:val="28"/>
                <w:lang w:val="en-US"/>
              </w:rPr>
              <w:t> </w:t>
            </w: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>Мезенка. – Віцебск : ВДУ імя П.М. Машэрава, 2013. – С. 107–109.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8E227A">
              <w:rPr>
                <w:rFonts w:ascii="Times New Roman" w:eastAsiaTheme="minorHAnsi" w:hAnsi="Times New Roman"/>
                <w:szCs w:val="28"/>
                <w:lang w:val="be-BY"/>
              </w:rPr>
              <w:t xml:space="preserve">10. Вертейко, Е.Е. </w:t>
            </w:r>
            <w:r w:rsidRPr="008E227A">
              <w:rPr>
                <w:rFonts w:ascii="Times New Roman" w:eastAsiaTheme="minorHAnsi" w:hAnsi="Times New Roman"/>
                <w:szCs w:val="28"/>
              </w:rPr>
              <w:t>Управление глаголов со значением психической деятельности в русском и польском яз</w:t>
            </w:r>
            <w:r w:rsidRPr="008E227A">
              <w:rPr>
                <w:rFonts w:ascii="Times New Roman" w:eastAsiaTheme="minorHAnsi" w:hAnsi="Times New Roman"/>
                <w:szCs w:val="28"/>
              </w:rPr>
              <w:t>ы</w:t>
            </w:r>
            <w:r w:rsidRPr="008E227A">
              <w:rPr>
                <w:rFonts w:ascii="Times New Roman" w:eastAsiaTheme="minorHAnsi" w:hAnsi="Times New Roman"/>
                <w:szCs w:val="28"/>
              </w:rPr>
              <w:t>ках // Международная научно-практическая студенческая конференция «Классика и современность в изящной словесности ХIХ–ХХI столетий», Брест, 14-15 февраля 2013 г. (в печати).</w:t>
            </w:r>
          </w:p>
          <w:p w:rsidR="00963439" w:rsidRPr="008E227A" w:rsidRDefault="00963439" w:rsidP="00F92C05">
            <w:pPr>
              <w:spacing w:before="120"/>
              <w:ind w:firstLine="318"/>
              <w:jc w:val="both"/>
              <w:rPr>
                <w:rFonts w:ascii="Times New Roman" w:eastAsia="Times New Roman" w:hAnsi="Times New Roman"/>
                <w:i/>
                <w:color w:val="000000"/>
                <w:szCs w:val="28"/>
                <w:lang w:eastAsia="ru-RU"/>
              </w:rPr>
            </w:pPr>
            <w:r w:rsidRPr="008E227A">
              <w:rPr>
                <w:rFonts w:ascii="Times New Roman" w:eastAsia="Times New Roman" w:hAnsi="Times New Roman"/>
                <w:i/>
                <w:color w:val="000000"/>
                <w:szCs w:val="28"/>
                <w:lang w:eastAsia="ru-RU"/>
              </w:rPr>
              <w:t>Структура и объем дипломной работы</w:t>
            </w:r>
          </w:p>
          <w:p w:rsidR="00963439" w:rsidRPr="008E227A" w:rsidRDefault="00963439" w:rsidP="00F92C05">
            <w:pPr>
              <w:ind w:firstLine="317"/>
              <w:jc w:val="both"/>
              <w:rPr>
                <w:rFonts w:ascii="Times New Roman" w:hAnsi="Times New Roman"/>
                <w:lang w:val="be-BY"/>
              </w:rPr>
            </w:pPr>
            <w:r w:rsidRPr="008E227A">
              <w:rPr>
                <w:rFonts w:ascii="Times New Roman" w:eastAsiaTheme="minorHAnsi" w:hAnsi="Times New Roman"/>
                <w:szCs w:val="28"/>
              </w:rPr>
              <w:t>Работа 86 с., 54 библиографических источника, 1 приложение (5 с.)</w:t>
            </w:r>
          </w:p>
        </w:tc>
      </w:tr>
    </w:tbl>
    <w:p w:rsidR="00F23456" w:rsidRPr="001D2308" w:rsidRDefault="00F23456">
      <w:r w:rsidRPr="001D2308">
        <w:lastRenderedPageBreak/>
        <w:br w:type="page"/>
      </w:r>
    </w:p>
    <w:tbl>
      <w:tblPr>
        <w:tblStyle w:val="a3"/>
        <w:tblW w:w="15781" w:type="dxa"/>
        <w:jc w:val="center"/>
        <w:tblLook w:val="04A0" w:firstRow="1" w:lastRow="0" w:firstColumn="1" w:lastColumn="0" w:noHBand="0" w:noVBand="1"/>
      </w:tblPr>
      <w:tblGrid>
        <w:gridCol w:w="4284"/>
        <w:gridCol w:w="11497"/>
      </w:tblGrid>
      <w:tr w:rsidR="00154A80" w:rsidRPr="001D2308" w:rsidTr="00963439">
        <w:trPr>
          <w:trHeight w:val="139"/>
          <w:jc w:val="center"/>
        </w:trPr>
        <w:tc>
          <w:tcPr>
            <w:tcW w:w="15781" w:type="dxa"/>
            <w:gridSpan w:val="2"/>
          </w:tcPr>
          <w:p w:rsidR="00154A80" w:rsidRPr="001D2308" w:rsidRDefault="00F23456" w:rsidP="00154A80">
            <w:pPr>
              <w:jc w:val="center"/>
              <w:rPr>
                <w:rFonts w:ascii="Times New Roman" w:hAnsi="Times New Roman"/>
                <w:lang w:val="be-BY"/>
              </w:rPr>
            </w:pPr>
            <w:r w:rsidRPr="001D2308">
              <w:rPr>
                <w:rFonts w:ascii="Times New Roman" w:hAnsi="Times New Roman"/>
                <w:b/>
                <w:sz w:val="28"/>
              </w:rPr>
              <w:lastRenderedPageBreak/>
              <w:t>Дипломные работы по гуманитарным специальностям</w:t>
            </w:r>
          </w:p>
        </w:tc>
      </w:tr>
      <w:tr w:rsidR="00963439" w:rsidRPr="001D2308" w:rsidTr="00963439">
        <w:trPr>
          <w:jc w:val="center"/>
        </w:trPr>
        <w:tc>
          <w:tcPr>
            <w:tcW w:w="4284" w:type="dxa"/>
            <w:vAlign w:val="center"/>
          </w:tcPr>
          <w:p w:rsidR="00963439" w:rsidRPr="001D2308" w:rsidRDefault="00963439" w:rsidP="00F2345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D2308">
              <w:rPr>
                <w:rFonts w:ascii="Times New Roman" w:hAnsi="Times New Roman"/>
                <w:b/>
                <w:szCs w:val="28"/>
              </w:rPr>
              <w:t>Автор работы</w:t>
            </w:r>
          </w:p>
        </w:tc>
        <w:tc>
          <w:tcPr>
            <w:tcW w:w="11497" w:type="dxa"/>
            <w:vAlign w:val="center"/>
          </w:tcPr>
          <w:p w:rsidR="00963439" w:rsidRPr="001D2308" w:rsidRDefault="00963439" w:rsidP="00F2345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D2308">
              <w:rPr>
                <w:rFonts w:ascii="Times New Roman" w:hAnsi="Times New Roman"/>
                <w:b/>
                <w:szCs w:val="28"/>
              </w:rPr>
              <w:t>Тема магистерской диссертации и краткая аннотация</w:t>
            </w:r>
          </w:p>
        </w:tc>
      </w:tr>
      <w:tr w:rsidR="00963439" w:rsidRPr="001D2308" w:rsidTr="00963439">
        <w:trPr>
          <w:jc w:val="center"/>
        </w:trPr>
        <w:tc>
          <w:tcPr>
            <w:tcW w:w="4284" w:type="dxa"/>
          </w:tcPr>
          <w:p w:rsidR="00963439" w:rsidRPr="001D2308" w:rsidRDefault="00963439" w:rsidP="006076B9">
            <w:pPr>
              <w:rPr>
                <w:rFonts w:ascii="Times New Roman" w:hAnsi="Times New Roman"/>
              </w:rPr>
            </w:pPr>
            <w:r w:rsidRPr="001D2308">
              <w:rPr>
                <w:rFonts w:ascii="Times New Roman" w:hAnsi="Times New Roman"/>
                <w:b/>
              </w:rPr>
              <w:t>Прудников Евгений Владимирович</w:t>
            </w:r>
            <w:r w:rsidRPr="001D2308">
              <w:rPr>
                <w:rFonts w:ascii="Times New Roman" w:hAnsi="Times New Roman"/>
              </w:rPr>
              <w:t>,</w:t>
            </w:r>
          </w:p>
          <w:p w:rsidR="00963439" w:rsidRPr="001D2308" w:rsidRDefault="00963439" w:rsidP="006076B9">
            <w:pPr>
              <w:rPr>
                <w:rFonts w:ascii="Times New Roman" w:hAnsi="Times New Roman"/>
                <w:lang w:val="be-BY"/>
              </w:rPr>
            </w:pPr>
            <w:r w:rsidRPr="001D2308">
              <w:rPr>
                <w:rFonts w:ascii="Times New Roman" w:hAnsi="Times New Roman"/>
              </w:rPr>
              <w:t>юридический факультет</w:t>
            </w:r>
            <w:bookmarkStart w:id="0" w:name="_GoBack"/>
            <w:bookmarkEnd w:id="0"/>
          </w:p>
        </w:tc>
        <w:tc>
          <w:tcPr>
            <w:tcW w:w="11497" w:type="dxa"/>
          </w:tcPr>
          <w:p w:rsidR="00963439" w:rsidRPr="001D2308" w:rsidRDefault="00963439" w:rsidP="009D0C0E">
            <w:pPr>
              <w:tabs>
                <w:tab w:val="left" w:pos="426"/>
                <w:tab w:val="left" w:pos="540"/>
                <w:tab w:val="left" w:pos="6480"/>
                <w:tab w:val="left" w:pos="6840"/>
                <w:tab w:val="left" w:pos="9354"/>
              </w:tabs>
              <w:ind w:right="-6" w:firstLine="317"/>
              <w:jc w:val="both"/>
              <w:rPr>
                <w:rFonts w:ascii="Times New Roman" w:hAnsi="Times New Roman"/>
                <w:b/>
              </w:rPr>
            </w:pPr>
            <w:r w:rsidRPr="001D2308">
              <w:rPr>
                <w:rFonts w:ascii="Times New Roman" w:hAnsi="Times New Roman"/>
                <w:b/>
              </w:rPr>
              <w:t>Недействительные сделки: гражданско-правовые и налоговые последствия по законодательству Республики Беларусь</w:t>
            </w:r>
          </w:p>
          <w:p w:rsidR="00963439" w:rsidRPr="001D2308" w:rsidRDefault="00963439" w:rsidP="009B65F9">
            <w:pPr>
              <w:spacing w:before="120"/>
              <w:ind w:firstLine="37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D2308">
              <w:rPr>
                <w:rFonts w:ascii="Times New Roman" w:eastAsia="Times New Roman" w:hAnsi="Times New Roman"/>
                <w:i/>
                <w:lang w:eastAsia="ru-RU"/>
              </w:rPr>
              <w:t>Цель и задачи исследования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Целью исследования является </w:t>
            </w:r>
            <w:r w:rsidRPr="00433E82">
              <w:rPr>
                <w:rFonts w:ascii="Times New Roman" w:eastAsiaTheme="minorHAnsi" w:hAnsi="Times New Roman"/>
              </w:rPr>
              <w:t>выявить сущность понятия «недействительная сделка», специфику</w:t>
            </w:r>
            <w:r w:rsidRPr="001D2308">
              <w:rPr>
                <w:rFonts w:ascii="Times New Roman" w:eastAsiaTheme="minorHAnsi" w:hAnsi="Times New Roman"/>
              </w:rPr>
              <w:t xml:space="preserve"> инст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>тута недействительной сделки и ее правовых последствий по законодательству Республики Бел</w:t>
            </w:r>
            <w:r w:rsidRPr="001D2308">
              <w:rPr>
                <w:rFonts w:ascii="Times New Roman" w:eastAsiaTheme="minorHAnsi" w:hAnsi="Times New Roman"/>
              </w:rPr>
              <w:t>а</w:t>
            </w:r>
            <w:r w:rsidRPr="001D2308">
              <w:rPr>
                <w:rFonts w:ascii="Times New Roman" w:eastAsiaTheme="minorHAnsi" w:hAnsi="Times New Roman"/>
              </w:rPr>
              <w:t>русь.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Задачи исследования: 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1. Систематизировать подходы к определению </w:t>
            </w:r>
            <w:r w:rsidRPr="00433E82">
              <w:rPr>
                <w:rFonts w:ascii="Times New Roman" w:eastAsiaTheme="minorHAnsi" w:hAnsi="Times New Roman"/>
              </w:rPr>
              <w:t>понятия «недействительная сделка».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2. </w:t>
            </w:r>
            <w:r w:rsidRPr="00433E82">
              <w:rPr>
                <w:rFonts w:ascii="Times New Roman" w:eastAsiaTheme="minorHAnsi" w:hAnsi="Times New Roman"/>
              </w:rPr>
              <w:t xml:space="preserve">Систематизировать </w:t>
            </w:r>
            <w:r w:rsidRPr="001D2308">
              <w:rPr>
                <w:rFonts w:ascii="Times New Roman" w:eastAsiaTheme="minorHAnsi" w:hAnsi="Times New Roman"/>
              </w:rPr>
              <w:t>подходы к классификации недействительных сделок (в зависимости от поря</w:t>
            </w:r>
            <w:r w:rsidRPr="001D2308">
              <w:rPr>
                <w:rFonts w:ascii="Times New Roman" w:eastAsiaTheme="minorHAnsi" w:hAnsi="Times New Roman"/>
              </w:rPr>
              <w:t>д</w:t>
            </w:r>
            <w:r w:rsidRPr="001D2308">
              <w:rPr>
                <w:rFonts w:ascii="Times New Roman" w:eastAsiaTheme="minorHAnsi" w:hAnsi="Times New Roman"/>
              </w:rPr>
              <w:t>ка их признания недействительными, в зависимости от классификации оснований недействительности).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3. Уточнить соотношение недействительной и несостоявшейся сделок.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4. Определить перечень возможных гражданско-правовых последствий недействительных сделок, их в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>ды.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5. </w:t>
            </w:r>
            <w:r w:rsidRPr="00433E82">
              <w:rPr>
                <w:rFonts w:ascii="Times New Roman" w:eastAsiaTheme="minorHAnsi" w:hAnsi="Times New Roman"/>
              </w:rPr>
              <w:t>Определить спектр</w:t>
            </w:r>
            <w:r w:rsidRPr="001D2308">
              <w:rPr>
                <w:rFonts w:ascii="Times New Roman" w:eastAsiaTheme="minorHAnsi" w:hAnsi="Times New Roman"/>
              </w:rPr>
              <w:t xml:space="preserve"> юридических (неимущественных) последствий недействительных сделок в виде самого установления факта ничтожности сделки и признания оспоримой сделки недействительной.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6. Раскрыть основные гражданско-правовые последствия недействительных сделок (двусторонняя рест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>туция, односторонняя реституция, недопущение реституции); определить соотношение реституционного требования и схожих с ним иных гражданско-правовых требований (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виндикационного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кондикционн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го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>).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7</w:t>
            </w:r>
            <w:r w:rsidRPr="00433E82">
              <w:rPr>
                <w:rFonts w:ascii="Times New Roman" w:eastAsiaTheme="minorHAnsi" w:hAnsi="Times New Roman"/>
              </w:rPr>
              <w:t>. Определить спектр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D2308">
              <w:rPr>
                <w:rFonts w:ascii="Times New Roman" w:eastAsiaTheme="minorHAnsi" w:hAnsi="Times New Roman"/>
              </w:rPr>
              <w:t>дополнительных последствий недействительных сделок (возмещение одной из ст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рон другой стороне недействительной сделки понесенного ей реального ущерба).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8. Выявить налогово-правовые последствия недействительных сделок.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  <w:spacing w:val="-10"/>
              </w:rPr>
            </w:pPr>
            <w:r w:rsidRPr="001D2308">
              <w:rPr>
                <w:rFonts w:ascii="Times New Roman" w:eastAsiaTheme="minorHAnsi" w:hAnsi="Times New Roman"/>
              </w:rPr>
              <w:t>9. Определить компетенцию налоговых органов в области установления факта ничтожности сделки (пр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>знания оспоримой сделки недействительной) и применения последствий ее недействительности</w:t>
            </w:r>
            <w:r w:rsidRPr="001D2308">
              <w:rPr>
                <w:rFonts w:ascii="Times New Roman" w:eastAsiaTheme="minorHAnsi" w:hAnsi="Times New Roman"/>
                <w:spacing w:val="-10"/>
              </w:rPr>
              <w:t>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Объектом исследования являются общественные отношения, возникающие в связи с установлением фа</w:t>
            </w:r>
            <w:r w:rsidRPr="001D2308">
              <w:rPr>
                <w:rFonts w:ascii="Times New Roman" w:eastAsiaTheme="minorHAnsi" w:hAnsi="Times New Roman"/>
              </w:rPr>
              <w:t>к</w:t>
            </w:r>
            <w:r w:rsidRPr="001D2308">
              <w:rPr>
                <w:rFonts w:ascii="Times New Roman" w:eastAsiaTheme="minorHAnsi" w:hAnsi="Times New Roman"/>
              </w:rPr>
              <w:t>та ничтожности сделки (признанием оспоримой сделки недействительной) и наступлением соотве</w:t>
            </w:r>
            <w:r w:rsidRPr="001D2308">
              <w:rPr>
                <w:rFonts w:ascii="Times New Roman" w:eastAsiaTheme="minorHAnsi" w:hAnsi="Times New Roman"/>
              </w:rPr>
              <w:t>т</w:t>
            </w:r>
            <w:r w:rsidRPr="001D2308">
              <w:rPr>
                <w:rFonts w:ascii="Times New Roman" w:eastAsiaTheme="minorHAnsi" w:hAnsi="Times New Roman"/>
              </w:rPr>
              <w:t>ствующих правовых последствий.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Исходя из вышеуказанного, можно выделить предмет исследования, который представляет собой сов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купность норм, регулирующих общественные отношения, возникающие в связи с установлением факта н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>чтожности сделки или признанием оспоримой сделки недействительной и наступлением соответству</w:t>
            </w:r>
            <w:r w:rsidRPr="001D2308">
              <w:rPr>
                <w:rFonts w:ascii="Times New Roman" w:eastAsiaTheme="minorHAnsi" w:hAnsi="Times New Roman"/>
              </w:rPr>
              <w:t>ю</w:t>
            </w:r>
            <w:r w:rsidRPr="001D2308">
              <w:rPr>
                <w:rFonts w:ascii="Times New Roman" w:eastAsiaTheme="minorHAnsi" w:hAnsi="Times New Roman"/>
              </w:rPr>
              <w:t>щих правовых последствий, а также практику их применения.</w:t>
            </w:r>
          </w:p>
          <w:p w:rsidR="00963439" w:rsidRPr="001D2308" w:rsidRDefault="00963439" w:rsidP="009B65F9">
            <w:pPr>
              <w:spacing w:before="120"/>
              <w:ind w:firstLine="37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D2308">
              <w:rPr>
                <w:rFonts w:ascii="Times New Roman" w:eastAsia="Times New Roman" w:hAnsi="Times New Roman"/>
                <w:i/>
                <w:lang w:eastAsia="ru-RU"/>
              </w:rPr>
              <w:t>Новизна полученных результатов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Дипломная работа посвящена комплексному изучению и системному изложению института недейств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>тельной сделки и ее правовых последствий по законодательству Республики Беларусь. Автором проанализ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>рованы гражданско-правовые последствия недействительных сделок и их налоговые (нал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 xml:space="preserve">гово-правовые) </w:t>
            </w:r>
            <w:r w:rsidRPr="001D2308">
              <w:rPr>
                <w:rFonts w:ascii="Times New Roman" w:eastAsiaTheme="minorHAnsi" w:hAnsi="Times New Roman"/>
              </w:rPr>
              <w:lastRenderedPageBreak/>
              <w:t>последствия в их тесной взаимосвязи и взаимообусловленности, что является новым для белорусской цив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 xml:space="preserve">листики и потребовало изучения практики правового регулирования и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правоприменения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 в иностранных го</w:t>
            </w:r>
            <w:r w:rsidRPr="001D2308">
              <w:rPr>
                <w:rFonts w:ascii="Times New Roman" w:eastAsiaTheme="minorHAnsi" w:hAnsi="Times New Roman"/>
              </w:rPr>
              <w:t>с</w:t>
            </w:r>
            <w:r w:rsidRPr="001D2308">
              <w:rPr>
                <w:rFonts w:ascii="Times New Roman" w:eastAsiaTheme="minorHAnsi" w:hAnsi="Times New Roman"/>
              </w:rPr>
              <w:t>ударствах. Автором предложены конкретные изменения и дополнения в де</w:t>
            </w:r>
            <w:r w:rsidRPr="001D2308">
              <w:rPr>
                <w:rFonts w:ascii="Times New Roman" w:eastAsiaTheme="minorHAnsi" w:hAnsi="Times New Roman"/>
              </w:rPr>
              <w:t>й</w:t>
            </w:r>
            <w:r w:rsidRPr="001D2308">
              <w:rPr>
                <w:rFonts w:ascii="Times New Roman" w:eastAsiaTheme="minorHAnsi" w:hAnsi="Times New Roman"/>
              </w:rPr>
              <w:t>ствующий Гражданский кодекс Республики Беларусь, которые представлены в Приложении А к дипломной работе в виде проекта соотве</w:t>
            </w:r>
            <w:r w:rsidRPr="001D2308">
              <w:rPr>
                <w:rFonts w:ascii="Times New Roman" w:eastAsiaTheme="minorHAnsi" w:hAnsi="Times New Roman"/>
              </w:rPr>
              <w:t>т</w:t>
            </w:r>
            <w:r w:rsidRPr="001D2308">
              <w:rPr>
                <w:rFonts w:ascii="Times New Roman" w:eastAsiaTheme="minorHAnsi" w:hAnsi="Times New Roman"/>
              </w:rPr>
              <w:t>ствующего Закона. Кроме того, автором впервые указывается на некорректность и неточность формулировок ряда подзаконных нормативных правовых актов Республики Беларусь, регулирующих общественные отн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шения, возникающие в связи с установлением факта н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>чтожности сделки или признанием оспоримой сделки недействительной и наступлением соответствующих прав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вых последствий.</w:t>
            </w:r>
          </w:p>
          <w:p w:rsidR="00963439" w:rsidRPr="001D2308" w:rsidRDefault="00963439" w:rsidP="009B65F9">
            <w:pPr>
              <w:spacing w:before="120"/>
              <w:ind w:firstLine="37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2308">
              <w:rPr>
                <w:rFonts w:ascii="Times New Roman" w:eastAsia="Times New Roman" w:hAnsi="Times New Roman"/>
                <w:lang w:eastAsia="ru-RU"/>
              </w:rPr>
              <w:t>Положения, выносимые на защиту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1. Единая частноправовая категория «сделка» включает в себя две разновидности сделок: «действител</w:t>
            </w:r>
            <w:r w:rsidRPr="001D2308">
              <w:rPr>
                <w:rFonts w:ascii="Times New Roman" w:eastAsiaTheme="minorHAnsi" w:hAnsi="Times New Roman"/>
              </w:rPr>
              <w:t>ь</w:t>
            </w:r>
            <w:r w:rsidRPr="001D2308">
              <w:rPr>
                <w:rFonts w:ascii="Times New Roman" w:eastAsiaTheme="minorHAnsi" w:hAnsi="Times New Roman"/>
              </w:rPr>
              <w:t>ная сделка», порождающая желаемые сторонами юридические последствия, и «недействительная сделка», порождающая иные, негативные для сторон, последствия. Недействительная сделка в зависимости от осн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вания ее признания таковой может относится как к правомерным, так и неправомерным или противопра</w:t>
            </w:r>
            <w:r w:rsidRPr="001D2308">
              <w:rPr>
                <w:rFonts w:ascii="Times New Roman" w:eastAsiaTheme="minorHAnsi" w:hAnsi="Times New Roman"/>
              </w:rPr>
              <w:t>в</w:t>
            </w:r>
            <w:r w:rsidRPr="001D2308">
              <w:rPr>
                <w:rFonts w:ascii="Times New Roman" w:eastAsiaTheme="minorHAnsi" w:hAnsi="Times New Roman"/>
              </w:rPr>
              <w:t>ным действиям (юридическим фактам). Недействительная сделка является сделкой (юридич</w:t>
            </w:r>
            <w:r w:rsidRPr="001D2308">
              <w:rPr>
                <w:rFonts w:ascii="Times New Roman" w:eastAsiaTheme="minorHAnsi" w:hAnsi="Times New Roman"/>
              </w:rPr>
              <w:t>е</w:t>
            </w:r>
            <w:r w:rsidRPr="001D2308">
              <w:rPr>
                <w:rFonts w:ascii="Times New Roman" w:eastAsiaTheme="minorHAnsi" w:hAnsi="Times New Roman"/>
              </w:rPr>
              <w:t>ским фактом), хоть и не порождающей желаемых сторонами юридических последствий, но влекущей за собой иные, нег</w:t>
            </w:r>
            <w:r w:rsidRPr="001D2308">
              <w:rPr>
                <w:rFonts w:ascii="Times New Roman" w:eastAsiaTheme="minorHAnsi" w:hAnsi="Times New Roman"/>
              </w:rPr>
              <w:t>а</w:t>
            </w:r>
            <w:r w:rsidRPr="001D2308">
              <w:rPr>
                <w:rFonts w:ascii="Times New Roman" w:eastAsiaTheme="minorHAnsi" w:hAnsi="Times New Roman"/>
              </w:rPr>
              <w:t xml:space="preserve">тивные, для них последствия. 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2. Возможно объединение под единой категорией «несостоявшаяся сделка» как сделок, не имеющих юридической силы, ввиду отсутствия внешнего факта, обуславливающего признание правопорядком за сделкой юридической силы, так и незаключенных договоров. Необходимо отнести признание сделки нес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стоявшейся к способам защиты гражданских прав путем внесения соответствующих изменений в ст. 11 ГК.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  <w:bCs/>
              </w:rPr>
            </w:pPr>
            <w:r w:rsidRPr="001D2308">
              <w:rPr>
                <w:rFonts w:ascii="Times New Roman" w:eastAsiaTheme="minorHAnsi" w:hAnsi="Times New Roman"/>
                <w:bCs/>
              </w:rPr>
              <w:t xml:space="preserve">3. Обязанность вернуть исполненное по недействительной сделке ничем не отличается от любой другой гражданско-правовой обязанности. Основанием возникновения реституционного обязательства является юридический состав, состоящий из двух действий </w:t>
            </w:r>
            <w:r w:rsidRPr="001D2308">
              <w:rPr>
                <w:rFonts w:ascii="Times New Roman" w:eastAsiaTheme="minorHAnsi" w:hAnsi="Times New Roman"/>
              </w:rPr>
              <w:t>–</w:t>
            </w:r>
            <w:r w:rsidRPr="001D2308">
              <w:rPr>
                <w:rFonts w:ascii="Times New Roman" w:eastAsiaTheme="minorHAnsi" w:hAnsi="Times New Roman"/>
                <w:bCs/>
              </w:rPr>
              <w:t xml:space="preserve"> заключение недействительной сделки и ее испо</w:t>
            </w:r>
            <w:r w:rsidRPr="001D2308">
              <w:rPr>
                <w:rFonts w:ascii="Times New Roman" w:eastAsiaTheme="minorHAnsi" w:hAnsi="Times New Roman"/>
                <w:bCs/>
              </w:rPr>
              <w:t>л</w:t>
            </w:r>
            <w:r w:rsidRPr="001D2308">
              <w:rPr>
                <w:rFonts w:ascii="Times New Roman" w:eastAsiaTheme="minorHAnsi" w:hAnsi="Times New Roman"/>
                <w:bCs/>
              </w:rPr>
              <w:t>нение сторонами сделки. При реституции подлежит исполнению реституционное обязательство.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4. Односторонняя реституция и недопущение реституции не могут являться способами защиты гражда</w:t>
            </w:r>
            <w:r w:rsidRPr="001D2308">
              <w:rPr>
                <w:rFonts w:ascii="Times New Roman" w:eastAsiaTheme="minorHAnsi" w:hAnsi="Times New Roman"/>
              </w:rPr>
              <w:t>н</w:t>
            </w:r>
            <w:r w:rsidRPr="001D2308">
              <w:rPr>
                <w:rFonts w:ascii="Times New Roman" w:eastAsiaTheme="minorHAnsi" w:hAnsi="Times New Roman"/>
              </w:rPr>
              <w:t>ских прав. Существующие конструкции односторонней реституции и недопущения реституции не пред</w:t>
            </w:r>
            <w:r w:rsidRPr="001D2308">
              <w:rPr>
                <w:rFonts w:ascii="Times New Roman" w:eastAsiaTheme="minorHAnsi" w:hAnsi="Times New Roman"/>
              </w:rPr>
              <w:t>у</w:t>
            </w:r>
            <w:r w:rsidRPr="001D2308">
              <w:rPr>
                <w:rFonts w:ascii="Times New Roman" w:eastAsiaTheme="minorHAnsi" w:hAnsi="Times New Roman"/>
              </w:rPr>
              <w:t>сматривают невозможности их реализации, в случаях, когда имущество, взыскиваемое в доход гос</w:t>
            </w:r>
            <w:r w:rsidRPr="001D2308">
              <w:rPr>
                <w:rFonts w:ascii="Times New Roman" w:eastAsiaTheme="minorHAnsi" w:hAnsi="Times New Roman"/>
              </w:rPr>
              <w:t>у</w:t>
            </w:r>
            <w:r w:rsidRPr="001D2308">
              <w:rPr>
                <w:rFonts w:ascii="Times New Roman" w:eastAsiaTheme="minorHAnsi" w:hAnsi="Times New Roman"/>
              </w:rPr>
              <w:t>дарства, является собственностью третьих лиц, что является существенным упущением.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5. Если лицо, которое приобрело имущество по сделке, в отношении которой впоследствии был устано</w:t>
            </w:r>
            <w:r w:rsidRPr="001D2308">
              <w:rPr>
                <w:rFonts w:ascii="Times New Roman" w:eastAsiaTheme="minorHAnsi" w:hAnsi="Times New Roman"/>
              </w:rPr>
              <w:t>в</w:t>
            </w:r>
            <w:r w:rsidRPr="001D2308">
              <w:rPr>
                <w:rFonts w:ascii="Times New Roman" w:eastAsiaTheme="minorHAnsi" w:hAnsi="Times New Roman"/>
              </w:rPr>
              <w:t>лен факт ничтожности или которая впоследствии была признана недействительной, произвело его отчужд</w:t>
            </w:r>
            <w:r w:rsidRPr="001D2308">
              <w:rPr>
                <w:rFonts w:ascii="Times New Roman" w:eastAsiaTheme="minorHAnsi" w:hAnsi="Times New Roman"/>
              </w:rPr>
              <w:t>е</w:t>
            </w:r>
            <w:r w:rsidRPr="001D2308">
              <w:rPr>
                <w:rFonts w:ascii="Times New Roman" w:eastAsiaTheme="minorHAnsi" w:hAnsi="Times New Roman"/>
              </w:rPr>
              <w:t>ние по сделке иному лицу, истребование имущества у последнего допускается только путем пред</w:t>
            </w:r>
            <w:r w:rsidRPr="001D2308">
              <w:rPr>
                <w:rFonts w:ascii="Times New Roman" w:eastAsiaTheme="minorHAnsi" w:hAnsi="Times New Roman"/>
              </w:rPr>
              <w:t>ъ</w:t>
            </w:r>
            <w:r w:rsidRPr="001D2308">
              <w:rPr>
                <w:rFonts w:ascii="Times New Roman" w:eastAsiaTheme="minorHAnsi" w:hAnsi="Times New Roman"/>
              </w:rPr>
              <w:t>явления соответствующего требования по правилам, предусмотренным статьями 282-284, 286 ГК, за и</w:t>
            </w:r>
            <w:r w:rsidRPr="001D2308">
              <w:rPr>
                <w:rFonts w:ascii="Times New Roman" w:eastAsiaTheme="minorHAnsi" w:hAnsi="Times New Roman"/>
              </w:rPr>
              <w:t>с</w:t>
            </w:r>
            <w:r w:rsidRPr="001D2308">
              <w:rPr>
                <w:rFonts w:ascii="Times New Roman" w:eastAsiaTheme="minorHAnsi" w:hAnsi="Times New Roman"/>
              </w:rPr>
              <w:t>ключением случаев, когда имеется несколько оснований для установления факта ничтожности сделки. Кроме того, лицо, у которого имущество не может быть истребовано в соответствии с правилами, пред</w:t>
            </w:r>
            <w:r w:rsidRPr="001D2308">
              <w:rPr>
                <w:rFonts w:ascii="Times New Roman" w:eastAsiaTheme="minorHAnsi" w:hAnsi="Times New Roman"/>
              </w:rPr>
              <w:t>у</w:t>
            </w:r>
            <w:r w:rsidRPr="001D2308">
              <w:rPr>
                <w:rFonts w:ascii="Times New Roman" w:eastAsiaTheme="minorHAnsi" w:hAnsi="Times New Roman"/>
              </w:rPr>
              <w:t>смотренными п. 1 ст. 283 ГК, признается собственником такого имущества с момента установления судом соответствующих о</w:t>
            </w:r>
            <w:r w:rsidRPr="001D2308">
              <w:rPr>
                <w:rFonts w:ascii="Times New Roman" w:eastAsiaTheme="minorHAnsi" w:hAnsi="Times New Roman"/>
              </w:rPr>
              <w:t>б</w:t>
            </w:r>
            <w:r w:rsidRPr="001D2308">
              <w:rPr>
                <w:rFonts w:ascii="Times New Roman" w:eastAsiaTheme="minorHAnsi" w:hAnsi="Times New Roman"/>
              </w:rPr>
              <w:t>стоятельств.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lastRenderedPageBreak/>
              <w:t>6. П</w:t>
            </w:r>
            <w:r w:rsidRPr="001D2308">
              <w:rPr>
                <w:rFonts w:ascii="Times New Roman" w:eastAsiaTheme="minorHAnsi" w:hAnsi="Times New Roman"/>
                <w:bCs/>
              </w:rPr>
              <w:t>озиция о соотношении обязательства из неосновательного обогащения и реституционного обязател</w:t>
            </w:r>
            <w:r w:rsidRPr="001D2308">
              <w:rPr>
                <w:rFonts w:ascii="Times New Roman" w:eastAsiaTheme="minorHAnsi" w:hAnsi="Times New Roman"/>
                <w:bCs/>
              </w:rPr>
              <w:t>ь</w:t>
            </w:r>
            <w:r w:rsidRPr="001D2308">
              <w:rPr>
                <w:rFonts w:ascii="Times New Roman" w:eastAsiaTheme="minorHAnsi" w:hAnsi="Times New Roman"/>
                <w:bCs/>
              </w:rPr>
              <w:t>ства как общего к частному противоречит легальной дефиниции неосновательного обогащения, содерж</w:t>
            </w:r>
            <w:r w:rsidRPr="001D2308">
              <w:rPr>
                <w:rFonts w:ascii="Times New Roman" w:eastAsiaTheme="minorHAnsi" w:hAnsi="Times New Roman"/>
                <w:bCs/>
              </w:rPr>
              <w:t>а</w:t>
            </w:r>
            <w:r w:rsidRPr="001D2308">
              <w:rPr>
                <w:rFonts w:ascii="Times New Roman" w:eastAsiaTheme="minorHAnsi" w:hAnsi="Times New Roman"/>
                <w:bCs/>
              </w:rPr>
              <w:t>щейся в п. 1 ст. 971 ГК</w:t>
            </w:r>
            <w:r w:rsidRPr="001D2308">
              <w:rPr>
                <w:rFonts w:ascii="Times New Roman" w:eastAsia="Calibri" w:hAnsi="Times New Roman"/>
              </w:rPr>
              <w:t xml:space="preserve">. </w:t>
            </w:r>
            <w:r w:rsidRPr="001D2308">
              <w:rPr>
                <w:rFonts w:ascii="Times New Roman" w:eastAsiaTheme="minorHAnsi" w:hAnsi="Times New Roman"/>
              </w:rPr>
              <w:t>Правила о неосновательном обогащении должны применяться к возврату исполне</w:t>
            </w:r>
            <w:r w:rsidRPr="001D2308">
              <w:rPr>
                <w:rFonts w:ascii="Times New Roman" w:eastAsiaTheme="minorHAnsi" w:hAnsi="Times New Roman"/>
              </w:rPr>
              <w:t>н</w:t>
            </w:r>
            <w:r w:rsidRPr="001D2308">
              <w:rPr>
                <w:rFonts w:ascii="Times New Roman" w:eastAsiaTheme="minorHAnsi" w:hAnsi="Times New Roman"/>
              </w:rPr>
              <w:t>ного по недействительной сделке в случае, когда недействительная сделка была исполнена лишь одной ст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 xml:space="preserve">роной, неэквивалентности исполненного по недействительной сделке в части превышающей переданное другой стороне либо при недействительности односторонней сделки. 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  <w:b/>
              </w:rPr>
            </w:pPr>
            <w:r w:rsidRPr="001D2308">
              <w:rPr>
                <w:rFonts w:ascii="Times New Roman" w:eastAsiaTheme="minorHAnsi" w:hAnsi="Times New Roman"/>
              </w:rPr>
              <w:t>7. Сама по себе недействительность сделки налогово-правовых последствий за собой не влечет. Для наступления налоговых последствий недействительной сделки необходимо два условия: наступление</w:t>
            </w:r>
            <w:r w:rsidRPr="001D2308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1D2308">
              <w:rPr>
                <w:rFonts w:ascii="Times New Roman" w:eastAsiaTheme="minorHAnsi" w:hAnsi="Times New Roman"/>
                <w:bCs/>
              </w:rPr>
              <w:t>ее гражданско-правовых последствий и изменение (исчезновение, возникновение) экономического основ</w:t>
            </w:r>
            <w:r w:rsidRPr="001D2308">
              <w:rPr>
                <w:rFonts w:ascii="Times New Roman" w:eastAsiaTheme="minorHAnsi" w:hAnsi="Times New Roman"/>
                <w:bCs/>
              </w:rPr>
              <w:t>а</w:t>
            </w:r>
            <w:r w:rsidRPr="001D2308">
              <w:rPr>
                <w:rFonts w:ascii="Times New Roman" w:eastAsiaTheme="minorHAnsi" w:hAnsi="Times New Roman"/>
                <w:bCs/>
              </w:rPr>
              <w:t>ния для взимания налога. В случае если договор является незаключенным в силу указания закона, но испо</w:t>
            </w:r>
            <w:r w:rsidRPr="001D2308">
              <w:rPr>
                <w:rFonts w:ascii="Times New Roman" w:eastAsiaTheme="minorHAnsi" w:hAnsi="Times New Roman"/>
                <w:bCs/>
              </w:rPr>
              <w:t>л</w:t>
            </w:r>
            <w:r w:rsidRPr="001D2308">
              <w:rPr>
                <w:rFonts w:ascii="Times New Roman" w:eastAsiaTheme="minorHAnsi" w:hAnsi="Times New Roman"/>
                <w:bCs/>
              </w:rPr>
              <w:t>нен, то никаких перерасчетов налоговых обязательств делать не нужно.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="Calibri" w:hAnsi="Times New Roman"/>
              </w:rPr>
            </w:pPr>
            <w:r w:rsidRPr="001D2308">
              <w:rPr>
                <w:rFonts w:ascii="Times New Roman" w:eastAsia="Calibri" w:hAnsi="Times New Roman"/>
              </w:rPr>
              <w:t>8. Налоговые органы, предполагая ничтожность сделки, не вправе действовать на основании этих пре</w:t>
            </w:r>
            <w:r w:rsidRPr="001D2308">
              <w:rPr>
                <w:rFonts w:ascii="Times New Roman" w:eastAsia="Calibri" w:hAnsi="Times New Roman"/>
              </w:rPr>
              <w:t>д</w:t>
            </w:r>
            <w:r w:rsidRPr="001D2308">
              <w:rPr>
                <w:rFonts w:ascii="Times New Roman" w:eastAsia="Calibri" w:hAnsi="Times New Roman"/>
              </w:rPr>
              <w:t>положений. При установлении соответствующих случаев они должны предъявлять в судебном поря</w:t>
            </w:r>
            <w:r w:rsidRPr="001D2308">
              <w:rPr>
                <w:rFonts w:ascii="Times New Roman" w:eastAsia="Calibri" w:hAnsi="Times New Roman"/>
              </w:rPr>
              <w:t>д</w:t>
            </w:r>
            <w:r w:rsidRPr="001D2308">
              <w:rPr>
                <w:rFonts w:ascii="Times New Roman" w:eastAsia="Calibri" w:hAnsi="Times New Roman"/>
              </w:rPr>
              <w:t>ке иск о признании этих сделок недействительными или об установлении факта ничтожности сделок и уже по р</w:t>
            </w:r>
            <w:r w:rsidRPr="001D2308">
              <w:rPr>
                <w:rFonts w:ascii="Times New Roman" w:eastAsia="Calibri" w:hAnsi="Times New Roman"/>
              </w:rPr>
              <w:t>е</w:t>
            </w:r>
            <w:r w:rsidRPr="001D2308">
              <w:rPr>
                <w:rFonts w:ascii="Times New Roman" w:eastAsia="Calibri" w:hAnsi="Times New Roman"/>
              </w:rPr>
              <w:t>зультатам рассмотрения этого спора решать вопрос о взыскании налогов и неналоговых пл</w:t>
            </w:r>
            <w:r w:rsidRPr="001D2308">
              <w:rPr>
                <w:rFonts w:ascii="Times New Roman" w:eastAsia="Calibri" w:hAnsi="Times New Roman"/>
              </w:rPr>
              <w:t>а</w:t>
            </w:r>
            <w:r w:rsidRPr="001D2308">
              <w:rPr>
                <w:rFonts w:ascii="Times New Roman" w:eastAsia="Calibri" w:hAnsi="Times New Roman"/>
              </w:rPr>
              <w:t>тежей.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Конкретные изменения и дополнения в действующий Гражданский кодекс Республики Беларусь, предл</w:t>
            </w:r>
            <w:r w:rsidRPr="001D2308">
              <w:rPr>
                <w:rFonts w:ascii="Times New Roman" w:eastAsiaTheme="minorHAnsi" w:hAnsi="Times New Roman"/>
              </w:rPr>
              <w:t>а</w:t>
            </w:r>
            <w:r w:rsidRPr="001D2308">
              <w:rPr>
                <w:rFonts w:ascii="Times New Roman" w:eastAsiaTheme="minorHAnsi" w:hAnsi="Times New Roman"/>
              </w:rPr>
              <w:t>гаемые автором дипломной работы, представлены в Приложении А.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spacing w:before="120"/>
              <w:ind w:firstLine="37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D2308">
              <w:rPr>
                <w:rFonts w:ascii="Times New Roman" w:eastAsia="Times New Roman" w:hAnsi="Times New Roman"/>
                <w:i/>
                <w:lang w:eastAsia="ru-RU"/>
              </w:rPr>
              <w:t>Апробация результатов дипломной работы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Основные положения и выводы дипломного исследования были представлены в докладах на следу</w:t>
            </w:r>
            <w:r w:rsidRPr="001D2308">
              <w:rPr>
                <w:rFonts w:ascii="Times New Roman" w:eastAsiaTheme="minorHAnsi" w:hAnsi="Times New Roman"/>
              </w:rPr>
              <w:t>ю</w:t>
            </w:r>
            <w:r w:rsidRPr="001D2308">
              <w:rPr>
                <w:rFonts w:ascii="Times New Roman" w:eastAsiaTheme="minorHAnsi" w:hAnsi="Times New Roman"/>
              </w:rPr>
              <w:t>щих международных, республиканских и региональных конференциях: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1. Межвузовской научно-практической студенческой конференции «Молодёжь и конкурентоспосо</w:t>
            </w:r>
            <w:r w:rsidRPr="001D2308">
              <w:rPr>
                <w:rFonts w:ascii="Times New Roman" w:eastAsiaTheme="minorHAnsi" w:hAnsi="Times New Roman"/>
              </w:rPr>
              <w:t>б</w:t>
            </w:r>
            <w:r w:rsidRPr="001D2308">
              <w:rPr>
                <w:rFonts w:ascii="Times New Roman" w:eastAsiaTheme="minorHAnsi" w:hAnsi="Times New Roman"/>
              </w:rPr>
              <w:t xml:space="preserve">ность региональной экономики» (Брест,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БрГУ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 имени А.С. Пушкина, 21 мая 2010 года) (тема доклада: «Соотнош</w:t>
            </w:r>
            <w:r w:rsidRPr="001D2308">
              <w:rPr>
                <w:rFonts w:ascii="Times New Roman" w:eastAsiaTheme="minorHAnsi" w:hAnsi="Times New Roman"/>
              </w:rPr>
              <w:t>е</w:t>
            </w:r>
            <w:r w:rsidRPr="001D2308">
              <w:rPr>
                <w:rFonts w:ascii="Times New Roman" w:eastAsiaTheme="minorHAnsi" w:hAnsi="Times New Roman"/>
              </w:rPr>
              <w:t>ние недействительной и несостоявшейся сделок»).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2. </w:t>
            </w:r>
            <w:r w:rsidRPr="001D2308">
              <w:rPr>
                <w:rFonts w:ascii="Times New Roman" w:eastAsiaTheme="minorHAnsi" w:hAnsi="Times New Roman"/>
                <w:lang w:val="en-US"/>
              </w:rPr>
              <w:t>V</w:t>
            </w:r>
            <w:r w:rsidRPr="001D2308">
              <w:rPr>
                <w:rFonts w:ascii="Times New Roman" w:eastAsiaTheme="minorHAnsi" w:hAnsi="Times New Roman"/>
              </w:rPr>
              <w:t xml:space="preserve"> Международной научно-практической конференции «Научный потенциал молодежи – будущему Беларуси» (Пинск,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ПолесГУ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>, 31 марта 2011 года) (тема доклада: «Самостоятельная квалификация налогов</w:t>
            </w:r>
            <w:r w:rsidRPr="001D2308">
              <w:rPr>
                <w:rFonts w:ascii="Times New Roman" w:eastAsiaTheme="minorHAnsi" w:hAnsi="Times New Roman"/>
              </w:rPr>
              <w:t>ы</w:t>
            </w:r>
            <w:r w:rsidRPr="001D2308">
              <w:rPr>
                <w:rFonts w:ascii="Times New Roman" w:eastAsiaTheme="minorHAnsi" w:hAnsi="Times New Roman"/>
              </w:rPr>
              <w:t>ми органами сделок как ничтожных»).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3. </w:t>
            </w:r>
            <w:r w:rsidRPr="001D2308">
              <w:rPr>
                <w:rFonts w:ascii="Times New Roman" w:eastAsiaTheme="minorHAnsi" w:hAnsi="Times New Roman"/>
                <w:lang w:val="en-US"/>
              </w:rPr>
              <w:t>XII</w:t>
            </w:r>
            <w:r w:rsidRPr="001D2308">
              <w:rPr>
                <w:rFonts w:ascii="Times New Roman" w:eastAsiaTheme="minorHAnsi" w:hAnsi="Times New Roman"/>
              </w:rPr>
              <w:t xml:space="preserve"> Республиканской научно-практической конференции студентов, магистрантов и аспирантов «А</w:t>
            </w:r>
            <w:r w:rsidRPr="001D2308">
              <w:rPr>
                <w:rFonts w:ascii="Times New Roman" w:eastAsiaTheme="minorHAnsi" w:hAnsi="Times New Roman"/>
              </w:rPr>
              <w:t>к</w:t>
            </w:r>
            <w:r w:rsidRPr="001D2308">
              <w:rPr>
                <w:rFonts w:ascii="Times New Roman" w:eastAsiaTheme="minorHAnsi" w:hAnsi="Times New Roman"/>
              </w:rPr>
              <w:t xml:space="preserve">туальные проблемы права и экономики» (Брест,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БрГУ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 имени А.С.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Пушина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>, 21 апреля 2011 года) (тема д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 xml:space="preserve">клада: «Последствия совершения сделки со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лжепредпринимательской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 структурой»).</w:t>
            </w:r>
          </w:p>
          <w:p w:rsidR="00963439" w:rsidRPr="001D2308" w:rsidRDefault="00963439" w:rsidP="009B65F9">
            <w:pPr>
              <w:tabs>
                <w:tab w:val="left" w:pos="900"/>
              </w:tabs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3. Республиканской конференции студентов, магистрантов и аспирантов «Правовое обеспечение прот</w:t>
            </w:r>
            <w:r w:rsidRPr="001D2308">
              <w:rPr>
                <w:rFonts w:ascii="Times New Roman" w:eastAsiaTheme="minorHAnsi" w:hAnsi="Times New Roman"/>
              </w:rPr>
              <w:t>и</w:t>
            </w:r>
            <w:r w:rsidRPr="001D2308">
              <w:rPr>
                <w:rFonts w:ascii="Times New Roman" w:eastAsiaTheme="minorHAnsi" w:hAnsi="Times New Roman"/>
              </w:rPr>
              <w:t xml:space="preserve">водействия правонарушениям в гражданском обороте: теоретические и прикладные проблемы» (Брест,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БрГУ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 имени А.С. Пушкина, 30 марта 2012 года) (тема доклада: «Право добросовестного приобретателя на имущ</w:t>
            </w:r>
            <w:r w:rsidRPr="001D2308">
              <w:rPr>
                <w:rFonts w:ascii="Times New Roman" w:eastAsiaTheme="minorHAnsi" w:hAnsi="Times New Roman"/>
              </w:rPr>
              <w:t>е</w:t>
            </w:r>
            <w:r w:rsidRPr="001D2308">
              <w:rPr>
                <w:rFonts w:ascii="Times New Roman" w:eastAsiaTheme="minorHAnsi" w:hAnsi="Times New Roman"/>
              </w:rPr>
              <w:t>ство, приобретенное по недействительной сделке»).</w:t>
            </w:r>
          </w:p>
          <w:p w:rsidR="00963439" w:rsidRPr="001D2308" w:rsidRDefault="00963439" w:rsidP="009B65F9">
            <w:pPr>
              <w:tabs>
                <w:tab w:val="left" w:pos="900"/>
              </w:tabs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4. </w:t>
            </w:r>
            <w:r w:rsidRPr="001D2308">
              <w:rPr>
                <w:rFonts w:ascii="Times New Roman" w:eastAsiaTheme="minorHAnsi" w:hAnsi="Times New Roman"/>
                <w:lang w:val="en-US"/>
              </w:rPr>
              <w:t>XIII</w:t>
            </w:r>
            <w:r w:rsidRPr="001D2308">
              <w:rPr>
                <w:rFonts w:ascii="Times New Roman" w:eastAsiaTheme="minorHAnsi" w:hAnsi="Times New Roman"/>
              </w:rPr>
              <w:t xml:space="preserve"> Республиканской научно-практической конференции студентов, магистрантов и аспирантов «А</w:t>
            </w:r>
            <w:r w:rsidRPr="001D2308">
              <w:rPr>
                <w:rFonts w:ascii="Times New Roman" w:eastAsiaTheme="minorHAnsi" w:hAnsi="Times New Roman"/>
              </w:rPr>
              <w:t>к</w:t>
            </w:r>
            <w:r w:rsidRPr="001D2308">
              <w:rPr>
                <w:rFonts w:ascii="Times New Roman" w:eastAsiaTheme="minorHAnsi" w:hAnsi="Times New Roman"/>
              </w:rPr>
              <w:t xml:space="preserve">туальные проблемы права и экономики» (Брест,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БрГУ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 имени А.С. Пушкина, 26 апреля 2012 года) (тема д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клада: «Применение правил о возврате неосновательного обогащения к возврату исполненного по неде</w:t>
            </w:r>
            <w:r w:rsidRPr="001D2308">
              <w:rPr>
                <w:rFonts w:ascii="Times New Roman" w:eastAsiaTheme="minorHAnsi" w:hAnsi="Times New Roman"/>
              </w:rPr>
              <w:t>й</w:t>
            </w:r>
            <w:r w:rsidRPr="001D2308">
              <w:rPr>
                <w:rFonts w:ascii="Times New Roman" w:eastAsiaTheme="minorHAnsi" w:hAnsi="Times New Roman"/>
              </w:rPr>
              <w:lastRenderedPageBreak/>
              <w:t>ствительной сделке»).</w:t>
            </w:r>
          </w:p>
          <w:p w:rsidR="00963439" w:rsidRPr="001D2308" w:rsidRDefault="00963439" w:rsidP="009B65F9">
            <w:pPr>
              <w:tabs>
                <w:tab w:val="left" w:pos="900"/>
              </w:tabs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5. </w:t>
            </w:r>
            <w:r w:rsidRPr="001D2308">
              <w:rPr>
                <w:rFonts w:ascii="Times New Roman" w:eastAsiaTheme="minorHAnsi" w:hAnsi="Times New Roman"/>
                <w:lang w:val="en-US"/>
              </w:rPr>
              <w:t>XIV</w:t>
            </w:r>
            <w:r w:rsidRPr="001D2308">
              <w:rPr>
                <w:rFonts w:ascii="Times New Roman" w:eastAsiaTheme="minorHAnsi" w:hAnsi="Times New Roman"/>
              </w:rPr>
              <w:t xml:space="preserve"> Республиканской научно-методической конференции молодых ученых (Брест,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БрГУ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 имени А.С. Пушкина, 11 мая 2012 года) (тема доклада: «Конкуренция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виндикационного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 и реституционного требов</w:t>
            </w:r>
            <w:r w:rsidRPr="001D2308">
              <w:rPr>
                <w:rFonts w:ascii="Times New Roman" w:eastAsiaTheme="minorHAnsi" w:hAnsi="Times New Roman"/>
              </w:rPr>
              <w:t>а</w:t>
            </w:r>
            <w:r w:rsidRPr="001D2308">
              <w:rPr>
                <w:rFonts w:ascii="Times New Roman" w:eastAsiaTheme="minorHAnsi" w:hAnsi="Times New Roman"/>
              </w:rPr>
              <w:t>ний»).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2308"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  <w:r w:rsidRPr="001D23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Республиканской научно-практической конференции </w:t>
            </w:r>
            <w:r w:rsidRPr="001D2308">
              <w:rPr>
                <w:rFonts w:ascii="Times New Roman" w:eastAsia="Times New Roman" w:hAnsi="Times New Roman"/>
                <w:lang w:eastAsia="ru-RU"/>
              </w:rPr>
              <w:t>аспирантов, магистрантов и студентов «Европе</w:t>
            </w:r>
            <w:r w:rsidRPr="001D2308">
              <w:rPr>
                <w:rFonts w:ascii="Times New Roman" w:eastAsia="Times New Roman" w:hAnsi="Times New Roman"/>
                <w:lang w:eastAsia="ru-RU"/>
              </w:rPr>
              <w:t>й</w:t>
            </w:r>
            <w:r w:rsidRPr="001D2308">
              <w:rPr>
                <w:rFonts w:ascii="Times New Roman" w:eastAsia="Times New Roman" w:hAnsi="Times New Roman"/>
                <w:lang w:eastAsia="ru-RU"/>
              </w:rPr>
              <w:t xml:space="preserve">ские интеграционные процессы: экономика, политика и право» (Брест, </w:t>
            </w:r>
            <w:proofErr w:type="spellStart"/>
            <w:r w:rsidRPr="001D2308">
              <w:rPr>
                <w:rFonts w:ascii="Times New Roman" w:eastAsia="Times New Roman" w:hAnsi="Times New Roman"/>
                <w:lang w:eastAsia="ru-RU"/>
              </w:rPr>
              <w:t>БрГУ</w:t>
            </w:r>
            <w:proofErr w:type="spellEnd"/>
            <w:r w:rsidRPr="001D2308">
              <w:rPr>
                <w:rFonts w:ascii="Times New Roman" w:eastAsia="Times New Roman" w:hAnsi="Times New Roman"/>
                <w:lang w:eastAsia="ru-RU"/>
              </w:rPr>
              <w:t xml:space="preserve"> имени А.С. Пушкина, 30 апреля 2013 года) (тема доклада: «Сравнительно-правовой анализ правового регулирования последствий недейств</w:t>
            </w:r>
            <w:r w:rsidRPr="001D230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D2308">
              <w:rPr>
                <w:rFonts w:ascii="Times New Roman" w:eastAsia="Times New Roman" w:hAnsi="Times New Roman"/>
                <w:lang w:eastAsia="ru-RU"/>
              </w:rPr>
              <w:t>тельности сделок (двусторонней реституции) в праве Республики Беларусь и Европейском пр</w:t>
            </w:r>
            <w:r w:rsidRPr="001D230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D2308">
              <w:rPr>
                <w:rFonts w:ascii="Times New Roman" w:eastAsia="Times New Roman" w:hAnsi="Times New Roman"/>
                <w:lang w:eastAsia="ru-RU"/>
              </w:rPr>
              <w:t>ве»).</w:t>
            </w:r>
          </w:p>
          <w:p w:rsidR="00963439" w:rsidRPr="001D2308" w:rsidRDefault="00963439" w:rsidP="009B65F9">
            <w:pPr>
              <w:tabs>
                <w:tab w:val="left" w:pos="900"/>
              </w:tabs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 xml:space="preserve">7. </w:t>
            </w:r>
            <w:r w:rsidRPr="001D2308">
              <w:rPr>
                <w:rFonts w:ascii="Times New Roman" w:eastAsiaTheme="minorHAnsi" w:hAnsi="Times New Roman"/>
                <w:lang w:val="en-US"/>
              </w:rPr>
              <w:t>XV</w:t>
            </w:r>
            <w:r w:rsidRPr="001D2308">
              <w:rPr>
                <w:rFonts w:ascii="Times New Roman" w:eastAsiaTheme="minorHAnsi" w:hAnsi="Times New Roman"/>
              </w:rPr>
              <w:t xml:space="preserve"> Республиканской научно-методической конференции молодых ученых (Брест,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БрГУ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 xml:space="preserve"> имени А.С. Пушкина, 17 мая 2013 года) (тема доклада: «Порядок уплаты косвенных налогов при установлении факта ничтожности сделки (признании оспоримой сделки недействительной) и применении последствий ее неде</w:t>
            </w:r>
            <w:r w:rsidRPr="001D2308">
              <w:rPr>
                <w:rFonts w:ascii="Times New Roman" w:eastAsiaTheme="minorHAnsi" w:hAnsi="Times New Roman"/>
              </w:rPr>
              <w:t>й</w:t>
            </w:r>
            <w:r w:rsidRPr="001D2308">
              <w:rPr>
                <w:rFonts w:ascii="Times New Roman" w:eastAsiaTheme="minorHAnsi" w:hAnsi="Times New Roman"/>
              </w:rPr>
              <w:t>ствительности»).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На основе результатов, полученных при проведении дипломного исследования, автором была подгото</w:t>
            </w:r>
            <w:r w:rsidRPr="001D2308">
              <w:rPr>
                <w:rFonts w:ascii="Times New Roman" w:eastAsiaTheme="minorHAnsi" w:hAnsi="Times New Roman"/>
              </w:rPr>
              <w:t>в</w:t>
            </w:r>
            <w:r w:rsidRPr="001D2308">
              <w:rPr>
                <w:rFonts w:ascii="Times New Roman" w:eastAsiaTheme="minorHAnsi" w:hAnsi="Times New Roman"/>
              </w:rPr>
              <w:t>лена и представлена на Республиканский конкурс научных работ студентов соответствующая научная раб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та, получившая по его результатам первую категорию.</w:t>
            </w:r>
          </w:p>
          <w:p w:rsidR="00963439" w:rsidRPr="001D2308" w:rsidRDefault="00963439" w:rsidP="009B65F9">
            <w:pPr>
              <w:autoSpaceDE w:val="0"/>
              <w:autoSpaceDN w:val="0"/>
              <w:adjustRightInd w:val="0"/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Имеются акты внедрения результатов исследования в деятельность адвокатского бюро «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ПравоВиК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>» и р</w:t>
            </w:r>
            <w:r w:rsidRPr="001D2308">
              <w:rPr>
                <w:rFonts w:ascii="Times New Roman" w:eastAsiaTheme="minorHAnsi" w:hAnsi="Times New Roman"/>
              </w:rPr>
              <w:t>е</w:t>
            </w:r>
            <w:r w:rsidRPr="001D2308">
              <w:rPr>
                <w:rFonts w:ascii="Times New Roman" w:eastAsiaTheme="minorHAnsi" w:hAnsi="Times New Roman"/>
              </w:rPr>
              <w:t>зидента свободной экономической зоны «Брест» иностранного общества с ограниченной ответственн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стью «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ИндустрияИти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>».</w:t>
            </w:r>
          </w:p>
          <w:p w:rsidR="00963439" w:rsidRPr="001D2308" w:rsidRDefault="00963439" w:rsidP="009B65F9">
            <w:pPr>
              <w:spacing w:before="120"/>
              <w:ind w:firstLine="37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1D230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Опубликованность</w:t>
            </w:r>
            <w:proofErr w:type="spellEnd"/>
            <w:r w:rsidRPr="001D230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результатов исследования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Основные положения и выводы дипломного исследования представлены в 9 научных публикациях. Кр</w:t>
            </w:r>
            <w:r w:rsidRPr="001D2308">
              <w:rPr>
                <w:rFonts w:ascii="Times New Roman" w:eastAsiaTheme="minorHAnsi" w:hAnsi="Times New Roman"/>
              </w:rPr>
              <w:t>о</w:t>
            </w:r>
            <w:r w:rsidRPr="001D2308">
              <w:rPr>
                <w:rFonts w:ascii="Times New Roman" w:eastAsiaTheme="minorHAnsi" w:hAnsi="Times New Roman"/>
              </w:rPr>
              <w:t>ме того, по теме дипломной работы на основе материалов гражданских дел, находящихся в производстве а</w:t>
            </w:r>
            <w:r w:rsidRPr="001D2308">
              <w:rPr>
                <w:rFonts w:ascii="Times New Roman" w:eastAsiaTheme="minorHAnsi" w:hAnsi="Times New Roman"/>
              </w:rPr>
              <w:t>д</w:t>
            </w:r>
            <w:r w:rsidRPr="001D2308">
              <w:rPr>
                <w:rFonts w:ascii="Times New Roman" w:eastAsiaTheme="minorHAnsi" w:hAnsi="Times New Roman"/>
              </w:rPr>
              <w:t>вокатского бюро «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ПравоВиК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>», была опубликована статья в специализированном журнале – Вестник Высш</w:t>
            </w:r>
            <w:r w:rsidRPr="001D2308">
              <w:rPr>
                <w:rFonts w:ascii="Times New Roman" w:eastAsiaTheme="minorHAnsi" w:hAnsi="Times New Roman"/>
              </w:rPr>
              <w:t>е</w:t>
            </w:r>
            <w:r w:rsidRPr="001D2308">
              <w:rPr>
                <w:rFonts w:ascii="Times New Roman" w:eastAsiaTheme="minorHAnsi" w:hAnsi="Times New Roman"/>
              </w:rPr>
              <w:t>го Хозяйственного Суда Республики Беларусь (см. Прудников, Е.В. Установление признаков злоупотребл</w:t>
            </w:r>
            <w:r w:rsidRPr="001D2308">
              <w:rPr>
                <w:rFonts w:ascii="Times New Roman" w:eastAsiaTheme="minorHAnsi" w:hAnsi="Times New Roman"/>
              </w:rPr>
              <w:t>е</w:t>
            </w:r>
            <w:r w:rsidRPr="001D2308">
              <w:rPr>
                <w:rFonts w:ascii="Times New Roman" w:eastAsiaTheme="minorHAnsi" w:hAnsi="Times New Roman"/>
              </w:rPr>
              <w:t xml:space="preserve">ния правом при оспаривании сделки: практический аспект /Е.В. Прудников, Е.А. </w:t>
            </w:r>
            <w:proofErr w:type="spellStart"/>
            <w:r w:rsidRPr="001D2308">
              <w:rPr>
                <w:rFonts w:ascii="Times New Roman" w:eastAsiaTheme="minorHAnsi" w:hAnsi="Times New Roman"/>
              </w:rPr>
              <w:t>Кукета</w:t>
            </w:r>
            <w:proofErr w:type="spellEnd"/>
            <w:r w:rsidRPr="001D2308">
              <w:rPr>
                <w:rFonts w:ascii="Times New Roman" w:eastAsiaTheme="minorHAnsi" w:hAnsi="Times New Roman"/>
              </w:rPr>
              <w:t>// Вестник Высшего Хозяйственного Суда Республики Беларусь. – 2013. – №12. – С. 109-115).</w:t>
            </w:r>
          </w:p>
          <w:p w:rsidR="00963439" w:rsidRPr="001D2308" w:rsidRDefault="00963439" w:rsidP="009B65F9">
            <w:pPr>
              <w:spacing w:before="120"/>
              <w:ind w:firstLine="37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D230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Структура и объем диссертации</w:t>
            </w:r>
          </w:p>
          <w:p w:rsidR="00963439" w:rsidRPr="001D2308" w:rsidRDefault="00963439" w:rsidP="009B65F9">
            <w:pPr>
              <w:ind w:firstLine="377"/>
              <w:jc w:val="both"/>
              <w:rPr>
                <w:rFonts w:ascii="Times New Roman" w:eastAsiaTheme="minorHAnsi" w:hAnsi="Times New Roman"/>
              </w:rPr>
            </w:pPr>
            <w:r w:rsidRPr="001D2308">
              <w:rPr>
                <w:rFonts w:ascii="Times New Roman" w:eastAsiaTheme="minorHAnsi" w:hAnsi="Times New Roman"/>
              </w:rPr>
              <w:t>Структура дипломной работы обусловлена целью и задачами исследования. Дипломная работа состоит из титульного листа, содержания, введения, трех разделов с подразделами, заключения, списка литературы и четырех приложений. Написана дипломная работа на 90 страницах компьютерного</w:t>
            </w:r>
            <w:r w:rsidRPr="001D2308">
              <w:rPr>
                <w:rFonts w:ascii="Times New Roman" w:eastAsiaTheme="minorHAnsi" w:hAnsi="Times New Roman"/>
                <w:lang w:val="en-US"/>
              </w:rPr>
              <w:t> </w:t>
            </w:r>
            <w:r w:rsidRPr="001D2308">
              <w:rPr>
                <w:rFonts w:ascii="Times New Roman" w:eastAsiaTheme="minorHAnsi" w:hAnsi="Times New Roman"/>
              </w:rPr>
              <w:t>текста.</w:t>
            </w:r>
          </w:p>
          <w:p w:rsidR="00963439" w:rsidRPr="001D2308" w:rsidRDefault="00963439" w:rsidP="009B65F9">
            <w:pPr>
              <w:tabs>
                <w:tab w:val="left" w:pos="426"/>
                <w:tab w:val="left" w:pos="540"/>
                <w:tab w:val="left" w:pos="6480"/>
                <w:tab w:val="left" w:pos="6840"/>
                <w:tab w:val="left" w:pos="9354"/>
              </w:tabs>
              <w:ind w:right="-6" w:firstLine="377"/>
              <w:jc w:val="both"/>
              <w:rPr>
                <w:rFonts w:ascii="Times New Roman" w:hAnsi="Times New Roman"/>
                <w:lang w:val="be-BY"/>
              </w:rPr>
            </w:pPr>
            <w:r w:rsidRPr="001D2308">
              <w:rPr>
                <w:rFonts w:ascii="Times New Roman" w:eastAsia="Times New Roman" w:hAnsi="Times New Roman"/>
                <w:color w:val="000000"/>
                <w:lang w:eastAsia="ru-RU"/>
              </w:rPr>
              <w:t>В процессе написания дипломной работы автором было использовано 105 библиографических источн</w:t>
            </w:r>
            <w:r w:rsidRPr="001D230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1D2308">
              <w:rPr>
                <w:rFonts w:ascii="Times New Roman" w:eastAsia="Times New Roman" w:hAnsi="Times New Roman"/>
                <w:color w:val="000000"/>
                <w:lang w:eastAsia="ru-RU"/>
              </w:rPr>
              <w:t>ков (включая собственные публикации), в том числе нормативные правовые акты, опубликованная с</w:t>
            </w:r>
            <w:r w:rsidRPr="001D230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1D2308">
              <w:rPr>
                <w:rFonts w:ascii="Times New Roman" w:eastAsia="Times New Roman" w:hAnsi="Times New Roman"/>
                <w:color w:val="000000"/>
                <w:lang w:eastAsia="ru-RU"/>
              </w:rPr>
              <w:t>дебная практика и архивные материалы, а также монографическая литература и научные статьи как бел</w:t>
            </w:r>
            <w:r w:rsidRPr="001D23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2308">
              <w:rPr>
                <w:rFonts w:ascii="Times New Roman" w:eastAsia="Times New Roman" w:hAnsi="Times New Roman"/>
                <w:color w:val="000000"/>
                <w:lang w:eastAsia="ru-RU"/>
              </w:rPr>
              <w:t>русских, так и зарубежных авторов.</w:t>
            </w:r>
          </w:p>
        </w:tc>
      </w:tr>
    </w:tbl>
    <w:p w:rsidR="00691CA6" w:rsidRPr="00F92C05" w:rsidRDefault="00691CA6" w:rsidP="00691CA6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sectPr w:rsidR="00691CA6" w:rsidRPr="00F92C05" w:rsidSect="0078534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40C"/>
    <w:multiLevelType w:val="hybridMultilevel"/>
    <w:tmpl w:val="DA522B1A"/>
    <w:lvl w:ilvl="0" w:tplc="110C3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F17A1"/>
    <w:multiLevelType w:val="hybridMultilevel"/>
    <w:tmpl w:val="637AA04C"/>
    <w:lvl w:ilvl="0" w:tplc="110C3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D5E67"/>
    <w:multiLevelType w:val="hybridMultilevel"/>
    <w:tmpl w:val="A1105066"/>
    <w:lvl w:ilvl="0" w:tplc="110C39D2">
      <w:start w:val="1"/>
      <w:numFmt w:val="bullet"/>
      <w:lvlText w:val=""/>
      <w:lvlJc w:val="left"/>
      <w:pPr>
        <w:tabs>
          <w:tab w:val="num" w:pos="2098"/>
        </w:tabs>
        <w:ind w:left="1389" w:firstLine="709"/>
      </w:pPr>
      <w:rPr>
        <w:rFonts w:ascii="Symbol" w:hAnsi="Symbol" w:hint="default"/>
      </w:rPr>
    </w:lvl>
    <w:lvl w:ilvl="1" w:tplc="53126E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73C42B0"/>
    <w:multiLevelType w:val="hybridMultilevel"/>
    <w:tmpl w:val="5E7AD116"/>
    <w:lvl w:ilvl="0" w:tplc="110C39D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B886355"/>
    <w:multiLevelType w:val="multilevel"/>
    <w:tmpl w:val="E5DAA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50CE3B35"/>
    <w:multiLevelType w:val="hybridMultilevel"/>
    <w:tmpl w:val="4A889FBE"/>
    <w:lvl w:ilvl="0" w:tplc="A8F8AFE2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5B0164D"/>
    <w:multiLevelType w:val="hybridMultilevel"/>
    <w:tmpl w:val="6DEA3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915DFE"/>
    <w:multiLevelType w:val="hybridMultilevel"/>
    <w:tmpl w:val="4538E20A"/>
    <w:lvl w:ilvl="0" w:tplc="592C7A9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54E9E"/>
    <w:multiLevelType w:val="hybridMultilevel"/>
    <w:tmpl w:val="C38A2340"/>
    <w:lvl w:ilvl="0" w:tplc="8FFE746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6789407C"/>
    <w:multiLevelType w:val="hybridMultilevel"/>
    <w:tmpl w:val="D15C6AD8"/>
    <w:lvl w:ilvl="0" w:tplc="38DA54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412AC"/>
    <w:multiLevelType w:val="hybridMultilevel"/>
    <w:tmpl w:val="0D8CF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4B"/>
    <w:rsid w:val="00030411"/>
    <w:rsid w:val="00153496"/>
    <w:rsid w:val="00154A80"/>
    <w:rsid w:val="00160A78"/>
    <w:rsid w:val="001D2308"/>
    <w:rsid w:val="003040F9"/>
    <w:rsid w:val="003831B2"/>
    <w:rsid w:val="003B05C4"/>
    <w:rsid w:val="00433E82"/>
    <w:rsid w:val="004829E2"/>
    <w:rsid w:val="004B69C0"/>
    <w:rsid w:val="0050575E"/>
    <w:rsid w:val="00574FCE"/>
    <w:rsid w:val="00595696"/>
    <w:rsid w:val="006024EF"/>
    <w:rsid w:val="006076B9"/>
    <w:rsid w:val="0062009B"/>
    <w:rsid w:val="00691CA6"/>
    <w:rsid w:val="006C2B29"/>
    <w:rsid w:val="006C7061"/>
    <w:rsid w:val="006E2038"/>
    <w:rsid w:val="007572CB"/>
    <w:rsid w:val="0078534B"/>
    <w:rsid w:val="008B32E7"/>
    <w:rsid w:val="008E227A"/>
    <w:rsid w:val="00963439"/>
    <w:rsid w:val="009B65F9"/>
    <w:rsid w:val="009C23D4"/>
    <w:rsid w:val="009D0C0E"/>
    <w:rsid w:val="00A05EEF"/>
    <w:rsid w:val="00AC2529"/>
    <w:rsid w:val="00AE0C47"/>
    <w:rsid w:val="00B75E88"/>
    <w:rsid w:val="00BD42E9"/>
    <w:rsid w:val="00BF58AB"/>
    <w:rsid w:val="00C20138"/>
    <w:rsid w:val="00CE2FD9"/>
    <w:rsid w:val="00CF51F0"/>
    <w:rsid w:val="00D22745"/>
    <w:rsid w:val="00DB70A8"/>
    <w:rsid w:val="00E17CB0"/>
    <w:rsid w:val="00E27986"/>
    <w:rsid w:val="00F23456"/>
    <w:rsid w:val="00F3632B"/>
    <w:rsid w:val="00F510BF"/>
    <w:rsid w:val="00F83A53"/>
    <w:rsid w:val="00F92C05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4B"/>
    <w:pPr>
      <w:spacing w:after="0" w:line="240" w:lineRule="auto"/>
    </w:pPr>
    <w:rPr>
      <w:rFonts w:eastAsiaTheme="minorEastAs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4B"/>
    <w:pPr>
      <w:spacing w:after="0" w:line="240" w:lineRule="auto"/>
    </w:pPr>
    <w:rPr>
      <w:rFonts w:eastAsiaTheme="minorEastAs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8534B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78534B"/>
    <w:rPr>
      <w:rFonts w:eastAsiaTheme="minorEastAs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4B"/>
    <w:pPr>
      <w:spacing w:after="0" w:line="240" w:lineRule="auto"/>
    </w:pPr>
    <w:rPr>
      <w:rFonts w:eastAsiaTheme="minorEastAs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4B"/>
    <w:pPr>
      <w:spacing w:after="0" w:line="240" w:lineRule="auto"/>
    </w:pPr>
    <w:rPr>
      <w:rFonts w:eastAsiaTheme="minorEastAs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8534B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78534B"/>
    <w:rPr>
      <w:rFonts w:eastAsiaTheme="minorEastAs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Андреевич</dc:creator>
  <cp:lastModifiedBy>Марзан</cp:lastModifiedBy>
  <cp:revision>3</cp:revision>
  <cp:lastPrinted>2014-03-10T11:47:00Z</cp:lastPrinted>
  <dcterms:created xsi:type="dcterms:W3CDTF">2014-03-31T09:37:00Z</dcterms:created>
  <dcterms:modified xsi:type="dcterms:W3CDTF">2014-04-02T05:28:00Z</dcterms:modified>
</cp:coreProperties>
</file>