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C1" w:rsidRPr="003E215F" w:rsidRDefault="008331C1" w:rsidP="008331C1">
      <w:pPr>
        <w:spacing w:after="0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5F">
        <w:rPr>
          <w:rFonts w:ascii="Times New Roman" w:hAnsi="Times New Roman" w:cs="Times New Roman"/>
          <w:b/>
          <w:sz w:val="28"/>
          <w:szCs w:val="28"/>
        </w:rPr>
        <w:t>ШЕЛОНИК М.И.</w:t>
      </w:r>
    </w:p>
    <w:p w:rsidR="008331C1" w:rsidRDefault="008331C1" w:rsidP="008331C1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8331C1" w:rsidRDefault="008331C1" w:rsidP="008331C1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A420D7" w:rsidRDefault="00A420D7" w:rsidP="008331C1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420D7" w:rsidRPr="00525A47" w:rsidRDefault="00A420D7" w:rsidP="00A420D7">
      <w:pPr>
        <w:pStyle w:val="a3"/>
        <w:spacing w:after="0" w:line="240" w:lineRule="auto"/>
        <w:ind w:left="0" w:right="-284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            Сенькевич Т.В.</w:t>
      </w:r>
    </w:p>
    <w:p w:rsidR="008331C1" w:rsidRDefault="008331C1">
      <w:pPr>
        <w:rPr>
          <w:rFonts w:ascii="Times New Roman" w:hAnsi="Times New Roman" w:cs="Times New Roman"/>
          <w:sz w:val="28"/>
          <w:szCs w:val="28"/>
        </w:rPr>
        <w:sectPr w:rsidR="00833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1C1" w:rsidRDefault="0083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образования «Брестский государственный университет имени А.С. Пушкина»</w:t>
      </w:r>
    </w:p>
    <w:p w:rsidR="008331C1" w:rsidRPr="008331C1" w:rsidRDefault="0083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заседания кафедры от </w:t>
      </w:r>
      <w:r w:rsidRPr="008331C1">
        <w:rPr>
          <w:rFonts w:ascii="Times New Roman" w:hAnsi="Times New Roman" w:cs="Times New Roman"/>
          <w:sz w:val="28"/>
          <w:szCs w:val="28"/>
          <w:u w:val="single"/>
        </w:rPr>
        <w:t>09.10.2015 №5</w:t>
      </w: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331C1" w:rsidSect="008331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русской литературы</w:t>
      </w: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5F">
        <w:rPr>
          <w:rFonts w:ascii="Times New Roman" w:hAnsi="Times New Roman" w:cs="Times New Roman"/>
          <w:sz w:val="28"/>
          <w:szCs w:val="28"/>
          <w:u w:val="single"/>
        </w:rPr>
        <w:t>09.10.2015</w:t>
      </w:r>
      <w:r>
        <w:rPr>
          <w:rFonts w:ascii="Times New Roman" w:hAnsi="Times New Roman" w:cs="Times New Roman"/>
          <w:sz w:val="28"/>
          <w:szCs w:val="28"/>
        </w:rPr>
        <w:t xml:space="preserve"> г. Брест</w:t>
      </w:r>
    </w:p>
    <w:p w:rsidR="008331C1" w:rsidRDefault="008331C1" w:rsidP="0083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1C1" w:rsidRDefault="008331C1" w:rsidP="00A42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Pr="003E215F">
        <w:rPr>
          <w:rFonts w:ascii="Times New Roman" w:hAnsi="Times New Roman" w:cs="Times New Roman"/>
          <w:b/>
          <w:sz w:val="28"/>
          <w:szCs w:val="28"/>
        </w:rPr>
        <w:t>«История русской литературы (древн</w:t>
      </w:r>
      <w:r w:rsidR="00A420D7">
        <w:rPr>
          <w:rFonts w:ascii="Times New Roman" w:hAnsi="Times New Roman" w:cs="Times New Roman"/>
          <w:b/>
          <w:sz w:val="28"/>
          <w:szCs w:val="28"/>
        </w:rPr>
        <w:t>ерусская</w:t>
      </w:r>
      <w:r w:rsidRPr="003E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0D7">
        <w:rPr>
          <w:rFonts w:ascii="Times New Roman" w:hAnsi="Times New Roman" w:cs="Times New Roman"/>
          <w:b/>
          <w:sz w:val="28"/>
          <w:szCs w:val="28"/>
        </w:rPr>
        <w:t>-</w:t>
      </w:r>
      <w:r w:rsidRPr="003E215F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3E215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E215F">
        <w:rPr>
          <w:rFonts w:ascii="Times New Roman" w:hAnsi="Times New Roman" w:cs="Times New Roman"/>
          <w:b/>
          <w:sz w:val="28"/>
          <w:szCs w:val="28"/>
        </w:rPr>
        <w:t xml:space="preserve"> в.)»</w:t>
      </w:r>
      <w:r>
        <w:rPr>
          <w:rFonts w:ascii="Times New Roman" w:hAnsi="Times New Roman" w:cs="Times New Roman"/>
          <w:sz w:val="28"/>
          <w:szCs w:val="28"/>
        </w:rPr>
        <w:t xml:space="preserve">,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, специаль</w:t>
      </w:r>
      <w:r w:rsidR="00C24575">
        <w:rPr>
          <w:rFonts w:ascii="Times New Roman" w:hAnsi="Times New Roman" w:cs="Times New Roman"/>
          <w:sz w:val="28"/>
          <w:szCs w:val="28"/>
        </w:rPr>
        <w:t>ности «Русская филология</w:t>
      </w:r>
      <w:r>
        <w:rPr>
          <w:rFonts w:ascii="Times New Roman" w:hAnsi="Times New Roman" w:cs="Times New Roman"/>
          <w:sz w:val="28"/>
          <w:szCs w:val="28"/>
        </w:rPr>
        <w:t xml:space="preserve">», дневной формы получения образования,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8331C1" w:rsidRDefault="008331C1"/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Особенности древнерусской литературы. Основные темы.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Жанровая система литературы Древней Руси.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«Повесть временных лет» – выдающийся исторический и литературный памятник.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Сказания и предания в «Повести временных лет»: основные идейные тенденции и художественные особенности.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«Житие Феодосия Печерского», написанное Нестором, как ранний образец отечественной биографии. Жанр, композиция, историко-литературное значение.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«Слово о Законе и Благодати» митрополита Иллариона. Патриотизм. Прославление Руси среди всех государств мира.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Обличение</w:t>
      </w:r>
      <w:r w:rsidRPr="00A420D7">
        <w:rPr>
          <w:rFonts w:ascii="Times New Roman" w:hAnsi="Times New Roman"/>
          <w:sz w:val="24"/>
          <w:szCs w:val="24"/>
        </w:rPr>
        <w:t xml:space="preserve"> 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княжеских междоусобиц в </w:t>
      </w:r>
      <w:r w:rsidRPr="00A420D7">
        <w:rPr>
          <w:rFonts w:ascii="Times New Roman" w:hAnsi="Times New Roman"/>
          <w:sz w:val="24"/>
          <w:szCs w:val="24"/>
        </w:rPr>
        <w:t>«Сказании о Борисе и Глебе»</w:t>
      </w:r>
      <w:r w:rsidRPr="00A420D7">
        <w:rPr>
          <w:rFonts w:ascii="Times New Roman" w:hAnsi="Times New Roman"/>
          <w:color w:val="000000"/>
          <w:sz w:val="24"/>
          <w:szCs w:val="24"/>
        </w:rPr>
        <w:t>. Эмоциональность стиля.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«Поучение» Владимира Мономаха как пример политического и морального наставления в древнерусской литературе. Личность автора в произведении.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«Повесть о битве на реке Калке» (1223 г.). Тема единства и героизма в защите Русской земли.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«Повесть о разорении Батыем Рязани» – выдающийся образец жанра воинской повести. Прославление в повести всенародного мужества и героизма в борьбе с врагом.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«Слово о полку Игореве» как выдающийся памятник восточнославянской культуры </w:t>
      </w:r>
      <w:r w:rsidRPr="00A420D7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 в. История открытия и опубликования.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Идейно-политическая направленность «Слова о полку Игореве» и идея единения Руси. Сюжет и композиция, система образов. Жанр «Слова».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Сочетание житийного жанра и воинской повести в «Житии князя Александра Невского». Образ Александра Невского – государственного деятеля и великого полководца.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lastRenderedPageBreak/>
        <w:t>Идеальный образ великого князя московского, правителя и главы всех русских сил в</w:t>
      </w:r>
      <w:r w:rsidRPr="00A420D7">
        <w:rPr>
          <w:sz w:val="24"/>
          <w:szCs w:val="24"/>
        </w:rPr>
        <w:t xml:space="preserve"> </w:t>
      </w:r>
      <w:r w:rsidRPr="00A420D7">
        <w:rPr>
          <w:rFonts w:ascii="Times New Roman" w:hAnsi="Times New Roman"/>
          <w:color w:val="000000"/>
          <w:sz w:val="24"/>
          <w:szCs w:val="24"/>
        </w:rPr>
        <w:t>«Сказания о Мамаевом побоище».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Задонщина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 – поэтическое прославление победы на Дону. Стиль повествования. Символические образы народной поэзии.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Величие и красота нравственного идеала человека в агиографическом произведении «Житие Стефания Пермского».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Величие и красота нравственного идеала человека в агиографическом произведении «Житие Сергия Радонежского» </w:t>
      </w:r>
      <w:proofErr w:type="spellStart"/>
      <w:r w:rsidRPr="00A420D7">
        <w:rPr>
          <w:rFonts w:ascii="Times New Roman" w:hAnsi="Times New Roman"/>
          <w:sz w:val="24"/>
          <w:szCs w:val="24"/>
        </w:rPr>
        <w:t>Епифания</w:t>
      </w:r>
      <w:proofErr w:type="spellEnd"/>
      <w:r w:rsidRPr="00A420D7">
        <w:rPr>
          <w:rFonts w:ascii="Times New Roman" w:hAnsi="Times New Roman"/>
          <w:sz w:val="24"/>
          <w:szCs w:val="24"/>
        </w:rPr>
        <w:t xml:space="preserve"> Премудрого.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«Хождение за три моря» Афанасия Никитина. Энциклопедизм произведения. Интерес к людям чужой страны, их опыту и правам. Образ путешественника.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Расцвет публицистики в </w:t>
      </w:r>
      <w:r w:rsidRPr="00A420D7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 в. Жанровое многообразие. Литературная деятельность митрополита Даниила, Максима Грека,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Вассиапа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 Патрикеева, Ивана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Пересветова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, Ивана Грозного.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«Повесть о Петре и деве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Февронии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». Образ мудрой крестьянской девы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Февронии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. Традиции агиографии.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Нарушение средневековых норм морали в «Повести о Савве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Грудцыне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». Противоречивость авторской концепции.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Совмещение в одном лице автора и героя произведения в «Житии» протопопа Аввакума. Литературное новаторство Аввакума.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«Повесть о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Горе-Злочастии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»: конфликт человека и судьбы. Сочувствие обездоленному человеку.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«Повесть о Фроле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Скобееве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 как «плутовская» новелла. Социальная основа произведения. Образ нового героя. Усиление реалистических тенденций.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«Повесть о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Юлиании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Лазаревской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 – первая биография женщины-дворянки в древнерусской литературе. Переплетение элементов бытовой повести с элементами житийного жанра.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Тематика и идейная направленность </w:t>
      </w:r>
      <w:r w:rsidRPr="00A420D7">
        <w:rPr>
          <w:rFonts w:ascii="Times New Roman" w:hAnsi="Times New Roman"/>
          <w:sz w:val="24"/>
          <w:szCs w:val="24"/>
        </w:rPr>
        <w:t xml:space="preserve">«Повести о Шемякином суде», 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«Повести о Ерше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Ершовиче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Обличение антинародной сущности феодально-крепостнического строя в «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Калязинской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 челобитной», «Повести о Ерше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Ершовиче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», «Повести о Шемякином суде», «Азбуки о голом и небогатом человеке», «Повести о бражнике», «Повести о Карпе Сутулове»</w:t>
      </w:r>
      <w:r w:rsidRPr="00A420D7">
        <w:rPr>
          <w:rFonts w:ascii="Times New Roman" w:hAnsi="Times New Roman"/>
          <w:sz w:val="24"/>
          <w:szCs w:val="24"/>
        </w:rPr>
        <w:t xml:space="preserve"> (по выбору студента).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Литературная деятельность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Симеона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 Полоцкого. Энциклопедизм его поэзии. Разнообразие сюжетов («Вертоград многоцветный», «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Рифмологион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»).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Характеристика литературы Петровского времени (оригинальные повести Петровской эпохи, переводная проза, драматургия, поэзия).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Общая характеристика литературы 1730–1750-х годов.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Творчество А.Д. Кантемира в русской литературе и в истории русского классицизма. В.Г. Белинский о Кантемире. Сатира как литературный жанр в творчестве поэта.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Литературное творчество В.К. Тредиаковского.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 xml:space="preserve">Классицизм как направление и художественный метод. Характерные особенности русского классицизма. </w:t>
      </w:r>
      <w:r w:rsidRPr="00A420D7">
        <w:rPr>
          <w:rFonts w:ascii="Times New Roman" w:hAnsi="Times New Roman"/>
          <w:color w:val="000000"/>
          <w:sz w:val="24"/>
          <w:szCs w:val="24"/>
        </w:rPr>
        <w:t>Жанры классицизма.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Творчество М.В. Ломоносова. Его значение в русской литературе, культуре, науке.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Творчество А.П. Сумарокова и его вклад в историю русской литературы.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Трагедия А.П. Сумарокова «Дмитрий Самозванец»: основные идеи, образы. Особенности жанра трагедии эпохи классицизма.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 xml:space="preserve">Н.И. Новиков – </w:t>
      </w:r>
      <w:r w:rsidRPr="00A420D7">
        <w:rPr>
          <w:rFonts w:ascii="Times New Roman" w:hAnsi="Times New Roman"/>
          <w:color w:val="000000"/>
          <w:sz w:val="24"/>
          <w:szCs w:val="24"/>
        </w:rPr>
        <w:t>публицист, просветитель.</w:t>
      </w:r>
      <w:r w:rsidRPr="00A420D7">
        <w:rPr>
          <w:rFonts w:ascii="Times New Roman" w:hAnsi="Times New Roman"/>
          <w:sz w:val="24"/>
          <w:szCs w:val="24"/>
        </w:rPr>
        <w:t xml:space="preserve"> Журналы Н.И. Новикова: идейно-тематическая направленность и роль в истории русской журналистики и литературы XVIII века.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Интерес к жизни и к быту низов в творчестве М.Д. Чулкова. Первый сентиментально-чувствительный роман Ф.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Эмина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 «Письма Эрнеста и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Доравры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«Душенька»</w:t>
      </w:r>
      <w:r w:rsidRPr="00A420D7">
        <w:rPr>
          <w:rFonts w:ascii="Times New Roman" w:hAnsi="Times New Roman"/>
          <w:sz w:val="24"/>
          <w:szCs w:val="24"/>
        </w:rPr>
        <w:t xml:space="preserve"> И.Ф. Богдановича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 и ее роль в истории развития русской поэмы.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Идейно-художественное своеобразие поэмы «</w:t>
      </w:r>
      <w:proofErr w:type="spellStart"/>
      <w:r w:rsidRPr="00A420D7">
        <w:rPr>
          <w:rFonts w:ascii="Times New Roman" w:hAnsi="Times New Roman"/>
          <w:sz w:val="24"/>
          <w:szCs w:val="24"/>
        </w:rPr>
        <w:t>Елисей</w:t>
      </w:r>
      <w:proofErr w:type="spellEnd"/>
      <w:r w:rsidRPr="00A420D7">
        <w:rPr>
          <w:rFonts w:ascii="Times New Roman" w:hAnsi="Times New Roman"/>
          <w:sz w:val="24"/>
          <w:szCs w:val="24"/>
        </w:rPr>
        <w:t xml:space="preserve">, или Раздраженный Вакх» В.И. </w:t>
      </w:r>
      <w:proofErr w:type="spellStart"/>
      <w:r w:rsidRPr="00A420D7">
        <w:rPr>
          <w:rFonts w:ascii="Times New Roman" w:hAnsi="Times New Roman"/>
          <w:sz w:val="24"/>
          <w:szCs w:val="24"/>
        </w:rPr>
        <w:t>Майкова</w:t>
      </w:r>
      <w:proofErr w:type="spellEnd"/>
      <w:r w:rsidRPr="00A420D7">
        <w:rPr>
          <w:rFonts w:ascii="Times New Roman" w:hAnsi="Times New Roman"/>
          <w:sz w:val="24"/>
          <w:szCs w:val="24"/>
        </w:rPr>
        <w:t>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pacing w:val="-8"/>
          <w:sz w:val="24"/>
          <w:szCs w:val="24"/>
        </w:rPr>
        <w:t>Творчество Я.Б. Княжнина. «Вадим Новгородский» как лучшая тираноборческая трагедия XVIII века.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Сатирическое изобличение суда и прокуратуры в комедии «Ябеда»</w:t>
      </w:r>
      <w:r w:rsidRPr="00A420D7">
        <w:rPr>
          <w:rFonts w:ascii="Times New Roman" w:hAnsi="Times New Roman"/>
          <w:sz w:val="24"/>
          <w:szCs w:val="24"/>
        </w:rPr>
        <w:t xml:space="preserve"> В.В. Капниста.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Обличительный пафос «Послания к слугам моим», осуждение деспотизма и раболепия в басне «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Лисица-Кознодей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</w:t>
      </w:r>
      <w:r w:rsidRPr="00A420D7">
        <w:rPr>
          <w:rFonts w:ascii="Times New Roman" w:hAnsi="Times New Roman"/>
          <w:sz w:val="24"/>
          <w:szCs w:val="24"/>
        </w:rPr>
        <w:t xml:space="preserve"> Д.И. Фонвизина.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Творческий путь Д.И. Фонвизина. Новаторство Д.И. Фонвизина-драматурга.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«Недоросль»</w:t>
      </w:r>
      <w:r w:rsidRPr="00A420D7">
        <w:rPr>
          <w:rFonts w:ascii="Times New Roman" w:hAnsi="Times New Roman"/>
          <w:sz w:val="24"/>
          <w:szCs w:val="24"/>
        </w:rPr>
        <w:t xml:space="preserve"> Д.И. Фонвизина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 – вершина русской комедии, заложившая основы русской реалистической драматургии.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Первые драматургические опыты Д.И. Фонвизина.</w:t>
      </w:r>
      <w:r w:rsidRPr="00A420D7">
        <w:rPr>
          <w:rFonts w:ascii="Times New Roman" w:hAnsi="Times New Roman"/>
          <w:sz w:val="24"/>
          <w:szCs w:val="24"/>
        </w:rPr>
        <w:t xml:space="preserve"> Комедия Д.И. Фонвизина «Бригадир»: тематика, идея, образы, поэтика.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Образы помещиков-крепостников в комедии Д.И. Фонвизина «Недоросль». Роль «</w:t>
      </w:r>
      <w:proofErr w:type="spellStart"/>
      <w:r w:rsidRPr="00A420D7">
        <w:rPr>
          <w:rFonts w:ascii="Times New Roman" w:hAnsi="Times New Roman"/>
          <w:sz w:val="24"/>
          <w:szCs w:val="24"/>
        </w:rPr>
        <w:t>внесценических</w:t>
      </w:r>
      <w:proofErr w:type="spellEnd"/>
      <w:r w:rsidRPr="00A420D7">
        <w:rPr>
          <w:rFonts w:ascii="Times New Roman" w:hAnsi="Times New Roman"/>
          <w:sz w:val="24"/>
          <w:szCs w:val="24"/>
        </w:rPr>
        <w:t>» персонажей и «</w:t>
      </w:r>
      <w:proofErr w:type="spellStart"/>
      <w:r w:rsidRPr="00A420D7">
        <w:rPr>
          <w:rFonts w:ascii="Times New Roman" w:hAnsi="Times New Roman"/>
          <w:sz w:val="24"/>
          <w:szCs w:val="24"/>
        </w:rPr>
        <w:t>внесюжетных</w:t>
      </w:r>
      <w:proofErr w:type="spellEnd"/>
      <w:r w:rsidRPr="00A420D7">
        <w:rPr>
          <w:rFonts w:ascii="Times New Roman" w:hAnsi="Times New Roman"/>
          <w:sz w:val="24"/>
          <w:szCs w:val="24"/>
        </w:rPr>
        <w:t>» сцен в ней.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«Бедная Лиза» Н.М. Карамзина – первая русская сентиментально-психологическая повесть в русской литературе.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Предромантические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 повести </w:t>
      </w:r>
      <w:r w:rsidRPr="00A420D7">
        <w:rPr>
          <w:rFonts w:ascii="Times New Roman" w:hAnsi="Times New Roman"/>
          <w:sz w:val="24"/>
          <w:szCs w:val="24"/>
        </w:rPr>
        <w:t xml:space="preserve">Н.М. Карамзина 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(«Остров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Борнгольм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Сиерра-Морена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»): связь с западноевропейским «готическим романом».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Сентиментализм как литературное направление.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 Русский сентиментализм: просветительский характер.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Широта и многогранность художественного воплощения действительности в творчестве</w:t>
      </w:r>
      <w:r w:rsidRPr="00A420D7">
        <w:rPr>
          <w:rFonts w:ascii="Times New Roman" w:hAnsi="Times New Roman"/>
          <w:sz w:val="24"/>
          <w:szCs w:val="24"/>
        </w:rPr>
        <w:t xml:space="preserve"> Г.Р. Державина.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Политические взгляды Н.М. Карамзина в исторической повести «Марфа Посадница, или Покорение Новгорода». Эволюция взглядов писателя.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Тема воспитания в комедиях «Бригадир» и «Недоросль» Д.И. Фонвизина.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Краткая характеристика литературной деятельности И.И. Дмитриева.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«Путешествие из Петербурга в Москву» А.Н. Радищева – «энциклопедия русского Просвещения». Идейный смысл и художественное своеобразие.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Проблематика и </w:t>
      </w:r>
      <w:r w:rsidRPr="00A420D7">
        <w:rPr>
          <w:rFonts w:ascii="Times New Roman" w:hAnsi="Times New Roman"/>
          <w:sz w:val="24"/>
          <w:szCs w:val="24"/>
        </w:rPr>
        <w:t>жанровое своеобразие «Путешествия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 из Петербурга в Москву</w:t>
      </w:r>
      <w:r w:rsidRPr="00A420D7">
        <w:rPr>
          <w:rFonts w:ascii="Times New Roman" w:hAnsi="Times New Roman"/>
          <w:sz w:val="24"/>
          <w:szCs w:val="24"/>
        </w:rPr>
        <w:t>» А.Н. Радищева.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Судьба книги </w:t>
      </w:r>
      <w:r w:rsidRPr="00A420D7">
        <w:rPr>
          <w:rFonts w:ascii="Times New Roman" w:hAnsi="Times New Roman"/>
          <w:sz w:val="24"/>
          <w:szCs w:val="24"/>
        </w:rPr>
        <w:t>«Путешествие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 из Петербурга в Москву</w:t>
      </w:r>
      <w:r w:rsidRPr="00A420D7">
        <w:rPr>
          <w:rFonts w:ascii="Times New Roman" w:hAnsi="Times New Roman"/>
          <w:sz w:val="24"/>
          <w:szCs w:val="24"/>
        </w:rPr>
        <w:t xml:space="preserve">» А.Н. Радищева. </w:t>
      </w:r>
      <w:r w:rsidRPr="00A420D7">
        <w:rPr>
          <w:rFonts w:ascii="Times New Roman" w:hAnsi="Times New Roman"/>
          <w:color w:val="000000"/>
          <w:sz w:val="24"/>
          <w:szCs w:val="24"/>
        </w:rPr>
        <w:t>Трагизм Радищева – человека и художника.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 xml:space="preserve">Первая историческая повесть </w:t>
      </w:r>
      <w:r w:rsidRPr="00A420D7">
        <w:rPr>
          <w:rFonts w:ascii="Times New Roman" w:hAnsi="Times New Roman"/>
          <w:sz w:val="24"/>
          <w:szCs w:val="24"/>
        </w:rPr>
        <w:t xml:space="preserve">Н.М. Карамзина </w:t>
      </w:r>
      <w:r w:rsidRPr="00A420D7">
        <w:rPr>
          <w:rFonts w:ascii="Times New Roman" w:hAnsi="Times New Roman"/>
          <w:color w:val="000000"/>
          <w:sz w:val="24"/>
          <w:szCs w:val="24"/>
        </w:rPr>
        <w:t>«Наталья, боярская дочь», ее своеобразие.</w:t>
      </w:r>
    </w:p>
    <w:p w:rsidR="00FA4C45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Продолжение И.А. Крыловым традиций журналистики 1769–1774 гг. Обличение пороков российской действительности в журналах И.А. Крылова («Почта духов», «Зритель» и «Санкт-Петербургский Меркурий»).</w:t>
      </w:r>
    </w:p>
    <w:p w:rsidR="008331C1" w:rsidRPr="00A420D7" w:rsidRDefault="008331C1" w:rsidP="00A420D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color w:val="000000"/>
          <w:sz w:val="24"/>
          <w:szCs w:val="24"/>
        </w:rPr>
        <w:t>Повесть «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Каиб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420D7">
        <w:rPr>
          <w:rFonts w:ascii="Times New Roman" w:hAnsi="Times New Roman"/>
          <w:sz w:val="24"/>
          <w:szCs w:val="24"/>
        </w:rPr>
        <w:t xml:space="preserve">И.А. Крылова </w:t>
      </w:r>
      <w:r w:rsidRPr="00A420D7">
        <w:rPr>
          <w:rFonts w:ascii="Times New Roman" w:hAnsi="Times New Roman"/>
          <w:color w:val="000000"/>
          <w:sz w:val="24"/>
          <w:szCs w:val="24"/>
        </w:rPr>
        <w:t>и ее антикрепостническая направленность.</w:t>
      </w:r>
      <w:r w:rsidRPr="00A42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0D7">
        <w:rPr>
          <w:rFonts w:ascii="Times New Roman" w:hAnsi="Times New Roman"/>
          <w:sz w:val="24"/>
          <w:szCs w:val="24"/>
        </w:rPr>
        <w:t>Шуто-трагедия</w:t>
      </w:r>
      <w:proofErr w:type="spellEnd"/>
      <w:r w:rsidRPr="00A420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420D7">
        <w:rPr>
          <w:rFonts w:ascii="Times New Roman" w:hAnsi="Times New Roman"/>
          <w:sz w:val="24"/>
          <w:szCs w:val="24"/>
        </w:rPr>
        <w:t>Трумф</w:t>
      </w:r>
      <w:proofErr w:type="spellEnd"/>
      <w:r w:rsidRPr="00A420D7">
        <w:rPr>
          <w:rFonts w:ascii="Times New Roman" w:hAnsi="Times New Roman"/>
          <w:sz w:val="24"/>
          <w:szCs w:val="24"/>
        </w:rPr>
        <w:t xml:space="preserve">, </w:t>
      </w:r>
      <w:r w:rsidRPr="00A420D7">
        <w:rPr>
          <w:rFonts w:ascii="Times New Roman" w:hAnsi="Times New Roman"/>
          <w:color w:val="000000"/>
          <w:sz w:val="24"/>
          <w:szCs w:val="24"/>
        </w:rPr>
        <w:t xml:space="preserve">или </w:t>
      </w:r>
      <w:proofErr w:type="spellStart"/>
      <w:r w:rsidRPr="00A420D7">
        <w:rPr>
          <w:rFonts w:ascii="Times New Roman" w:hAnsi="Times New Roman"/>
          <w:color w:val="000000"/>
          <w:sz w:val="24"/>
          <w:szCs w:val="24"/>
        </w:rPr>
        <w:t>Подщипа</w:t>
      </w:r>
      <w:proofErr w:type="spellEnd"/>
      <w:r w:rsidRPr="00A420D7">
        <w:rPr>
          <w:rFonts w:ascii="Times New Roman" w:hAnsi="Times New Roman"/>
          <w:color w:val="000000"/>
          <w:sz w:val="24"/>
          <w:szCs w:val="24"/>
        </w:rPr>
        <w:t>»</w:t>
      </w:r>
      <w:r w:rsidRPr="00A420D7">
        <w:rPr>
          <w:rFonts w:ascii="Times New Roman" w:hAnsi="Times New Roman"/>
          <w:sz w:val="24"/>
          <w:szCs w:val="24"/>
        </w:rPr>
        <w:t>.</w:t>
      </w:r>
    </w:p>
    <w:p w:rsidR="00FA4C45" w:rsidRPr="00A420D7" w:rsidRDefault="00FA4C45" w:rsidP="00FA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C45" w:rsidRPr="00A420D7" w:rsidRDefault="00FA4C45" w:rsidP="00FA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0D7">
        <w:rPr>
          <w:rFonts w:ascii="Times New Roman" w:hAnsi="Times New Roman"/>
          <w:sz w:val="24"/>
          <w:szCs w:val="24"/>
        </w:rPr>
        <w:t>Доцент                                                                                                                     Шелоник М.И.</w:t>
      </w:r>
    </w:p>
    <w:sectPr w:rsidR="00FA4C45" w:rsidRPr="00A420D7" w:rsidSect="008331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C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3797212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58B5D18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70507BD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07DC3193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9244CE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0951064E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0ADF3AE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CA375C6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0D3851B6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1FF11A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1FEE1C1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609503A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2A663A98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2B15779D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B812449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2E5829F6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34347B9D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410B01C4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42A73B9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45244147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AD6344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99327AD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5C352F3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75B5749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71CD1BA4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72F5686E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77AF467F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7CFB077E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D544EF5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EF729C3"/>
    <w:multiLevelType w:val="hybridMultilevel"/>
    <w:tmpl w:val="BE1C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1"/>
  </w:num>
  <w:num w:numId="5">
    <w:abstractNumId w:val="24"/>
  </w:num>
  <w:num w:numId="6">
    <w:abstractNumId w:val="18"/>
  </w:num>
  <w:num w:numId="7">
    <w:abstractNumId w:val="22"/>
  </w:num>
  <w:num w:numId="8">
    <w:abstractNumId w:val="23"/>
  </w:num>
  <w:num w:numId="9">
    <w:abstractNumId w:val="15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  <w:num w:numId="15">
    <w:abstractNumId w:val="25"/>
  </w:num>
  <w:num w:numId="16">
    <w:abstractNumId w:val="7"/>
  </w:num>
  <w:num w:numId="17">
    <w:abstractNumId w:val="28"/>
  </w:num>
  <w:num w:numId="18">
    <w:abstractNumId w:val="16"/>
  </w:num>
  <w:num w:numId="19">
    <w:abstractNumId w:val="8"/>
  </w:num>
  <w:num w:numId="20">
    <w:abstractNumId w:val="27"/>
  </w:num>
  <w:num w:numId="21">
    <w:abstractNumId w:val="19"/>
  </w:num>
  <w:num w:numId="22">
    <w:abstractNumId w:val="9"/>
  </w:num>
  <w:num w:numId="23">
    <w:abstractNumId w:val="26"/>
  </w:num>
  <w:num w:numId="24">
    <w:abstractNumId w:val="11"/>
  </w:num>
  <w:num w:numId="25">
    <w:abstractNumId w:val="5"/>
  </w:num>
  <w:num w:numId="26">
    <w:abstractNumId w:val="14"/>
  </w:num>
  <w:num w:numId="27">
    <w:abstractNumId w:val="2"/>
  </w:num>
  <w:num w:numId="28">
    <w:abstractNumId w:val="17"/>
  </w:num>
  <w:num w:numId="29">
    <w:abstractNumId w:val="29"/>
  </w:num>
  <w:num w:numId="30">
    <w:abstractNumId w:val="2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31C1"/>
    <w:rsid w:val="001F7954"/>
    <w:rsid w:val="00227ECF"/>
    <w:rsid w:val="008331C1"/>
    <w:rsid w:val="00A420D7"/>
    <w:rsid w:val="00C24575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2016-12-30T09:13:00Z</cp:lastPrinted>
  <dcterms:created xsi:type="dcterms:W3CDTF">2015-11-25T10:18:00Z</dcterms:created>
  <dcterms:modified xsi:type="dcterms:W3CDTF">2016-12-30T09:13:00Z</dcterms:modified>
</cp:coreProperties>
</file>